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17" w:rsidRPr="00B2569C" w:rsidRDefault="00551517" w:rsidP="00C235DC">
      <w:pPr>
        <w:spacing w:before="120" w:after="120" w:line="240" w:lineRule="auto"/>
        <w:jc w:val="center"/>
        <w:rPr>
          <w:rFonts w:ascii="Arial" w:hAnsi="Arial" w:cs="Arial"/>
          <w:b/>
          <w:sz w:val="24"/>
          <w:szCs w:val="24"/>
        </w:rPr>
      </w:pPr>
      <w:r w:rsidRPr="00B2569C">
        <w:rPr>
          <w:rFonts w:ascii="Arial" w:hAnsi="Arial" w:cs="Arial"/>
          <w:b/>
          <w:bCs/>
          <w:sz w:val="24"/>
          <w:szCs w:val="24"/>
        </w:rPr>
        <w:t>SECRETARÍA DISTRITAL DE SALUD DE BOGOTÁ</w:t>
      </w:r>
      <w:r w:rsidR="00520FA6" w:rsidRPr="00B2569C">
        <w:rPr>
          <w:rFonts w:ascii="Arial" w:hAnsi="Arial" w:cs="Arial"/>
          <w:b/>
          <w:bCs/>
          <w:sz w:val="24"/>
          <w:szCs w:val="24"/>
        </w:rPr>
        <w:t xml:space="preserve"> D.C.</w:t>
      </w:r>
    </w:p>
    <w:p w:rsidR="00551517" w:rsidRPr="00B2569C" w:rsidRDefault="00551517" w:rsidP="00C235DC">
      <w:pPr>
        <w:spacing w:before="120" w:after="120" w:line="240" w:lineRule="auto"/>
        <w:jc w:val="center"/>
        <w:rPr>
          <w:rFonts w:ascii="Arial" w:hAnsi="Arial" w:cs="Arial"/>
          <w:b/>
          <w:bCs/>
          <w:sz w:val="24"/>
          <w:szCs w:val="24"/>
        </w:rPr>
      </w:pPr>
      <w:r w:rsidRPr="00B2569C">
        <w:rPr>
          <w:rFonts w:ascii="Arial" w:hAnsi="Arial" w:cs="Arial"/>
          <w:b/>
          <w:bCs/>
          <w:sz w:val="24"/>
          <w:szCs w:val="24"/>
        </w:rPr>
        <w:t>DIRECCIÓN DE PLANEACIÓN Y SISTEMAS</w:t>
      </w:r>
    </w:p>
    <w:p w:rsidR="00857E17" w:rsidRPr="00B2569C" w:rsidRDefault="00551517" w:rsidP="00C235DC">
      <w:pPr>
        <w:spacing w:before="120" w:after="120" w:line="240" w:lineRule="auto"/>
        <w:jc w:val="center"/>
        <w:rPr>
          <w:rFonts w:ascii="Arial" w:hAnsi="Arial" w:cs="Arial"/>
          <w:b/>
          <w:bCs/>
          <w:sz w:val="24"/>
          <w:szCs w:val="24"/>
        </w:rPr>
      </w:pPr>
      <w:r w:rsidRPr="00B2569C">
        <w:rPr>
          <w:rFonts w:ascii="Arial" w:hAnsi="Arial" w:cs="Arial"/>
          <w:b/>
          <w:bCs/>
          <w:sz w:val="24"/>
          <w:szCs w:val="24"/>
        </w:rPr>
        <w:t>GRUPO DE INVESTIGACIONES Y COOPERACIÓN INTERNACIONAL</w:t>
      </w:r>
    </w:p>
    <w:p w:rsidR="00C235DC" w:rsidRDefault="00C235DC" w:rsidP="00C235DC">
      <w:pPr>
        <w:spacing w:before="120" w:after="120" w:line="240" w:lineRule="auto"/>
        <w:jc w:val="center"/>
        <w:rPr>
          <w:rFonts w:ascii="Arial" w:hAnsi="Arial" w:cs="Arial"/>
          <w:b/>
          <w:bCs/>
          <w:i/>
          <w:iCs/>
          <w:sz w:val="24"/>
          <w:szCs w:val="24"/>
        </w:rPr>
      </w:pPr>
    </w:p>
    <w:p w:rsidR="00857E17" w:rsidRPr="00B2569C" w:rsidRDefault="00551517" w:rsidP="00C235DC">
      <w:pPr>
        <w:spacing w:before="120" w:after="120" w:line="240" w:lineRule="auto"/>
        <w:jc w:val="center"/>
        <w:rPr>
          <w:rFonts w:ascii="Arial" w:hAnsi="Arial" w:cs="Arial"/>
          <w:b/>
          <w:sz w:val="24"/>
          <w:szCs w:val="24"/>
        </w:rPr>
      </w:pPr>
      <w:r w:rsidRPr="00B2569C">
        <w:rPr>
          <w:rFonts w:ascii="Arial" w:hAnsi="Arial" w:cs="Arial"/>
          <w:b/>
          <w:bCs/>
          <w:i/>
          <w:iCs/>
          <w:sz w:val="24"/>
          <w:szCs w:val="24"/>
        </w:rPr>
        <w:t>OBSERVATORIO PARA LA EQUIDAD EN CALIDAD DE VIDA Y SALUD</w:t>
      </w:r>
      <w:r w:rsidRPr="00B2569C">
        <w:rPr>
          <w:rFonts w:ascii="Arial" w:hAnsi="Arial" w:cs="Arial"/>
          <w:b/>
          <w:bCs/>
          <w:sz w:val="24"/>
          <w:szCs w:val="24"/>
        </w:rPr>
        <w:t xml:space="preserve"> DE BOGOTÁ</w:t>
      </w:r>
    </w:p>
    <w:p w:rsidR="00857E17" w:rsidRPr="00B2569C" w:rsidRDefault="00551517" w:rsidP="00C235DC">
      <w:pPr>
        <w:spacing w:before="120" w:after="120" w:line="240" w:lineRule="auto"/>
        <w:jc w:val="center"/>
        <w:rPr>
          <w:rFonts w:ascii="Arial" w:hAnsi="Arial" w:cs="Arial"/>
          <w:b/>
          <w:sz w:val="24"/>
          <w:szCs w:val="24"/>
        </w:rPr>
      </w:pPr>
      <w:r w:rsidRPr="00B2569C">
        <w:rPr>
          <w:rFonts w:ascii="Arial" w:hAnsi="Arial" w:cs="Arial"/>
          <w:b/>
          <w:sz w:val="24"/>
          <w:szCs w:val="24"/>
        </w:rPr>
        <w:t>SÍNTESIS PROCESO 2006-2013</w:t>
      </w:r>
    </w:p>
    <w:p w:rsidR="003A609F" w:rsidRDefault="00DB4856" w:rsidP="00DB4856">
      <w:pPr>
        <w:autoSpaceDE w:val="0"/>
        <w:autoSpaceDN w:val="0"/>
        <w:adjustRightInd w:val="0"/>
        <w:spacing w:before="120" w:after="120" w:line="240" w:lineRule="auto"/>
        <w:jc w:val="right"/>
        <w:rPr>
          <w:rFonts w:ascii="Arial" w:hAnsi="Arial" w:cs="Arial"/>
          <w:sz w:val="24"/>
          <w:szCs w:val="24"/>
          <w:lang w:val="es-AR"/>
        </w:rPr>
      </w:pPr>
      <w:r>
        <w:rPr>
          <w:rFonts w:ascii="Arial" w:hAnsi="Arial" w:cs="Arial"/>
          <w:sz w:val="24"/>
          <w:szCs w:val="24"/>
          <w:lang w:val="es-AR"/>
        </w:rPr>
        <w:t xml:space="preserve">Por: </w:t>
      </w:r>
      <w:r w:rsidR="00696109" w:rsidRPr="00B2569C">
        <w:rPr>
          <w:rFonts w:ascii="Arial" w:hAnsi="Arial" w:cs="Arial"/>
          <w:sz w:val="24"/>
          <w:szCs w:val="24"/>
          <w:lang w:val="es-AR"/>
        </w:rPr>
        <w:t>Germán Granada Osorio</w:t>
      </w:r>
    </w:p>
    <w:p w:rsidR="00DB4856" w:rsidRPr="00B2569C" w:rsidRDefault="00DB4856" w:rsidP="00DB4856">
      <w:pPr>
        <w:autoSpaceDE w:val="0"/>
        <w:autoSpaceDN w:val="0"/>
        <w:adjustRightInd w:val="0"/>
        <w:spacing w:before="120" w:after="120" w:line="240" w:lineRule="auto"/>
        <w:jc w:val="right"/>
        <w:rPr>
          <w:rFonts w:ascii="Arial" w:hAnsi="Arial" w:cs="Arial"/>
          <w:sz w:val="24"/>
          <w:szCs w:val="24"/>
          <w:lang w:val="es-AR"/>
        </w:rPr>
      </w:pPr>
    </w:p>
    <w:p w:rsidR="00B63E32" w:rsidRPr="00B2569C" w:rsidRDefault="00B63E32" w:rsidP="00D85868">
      <w:pPr>
        <w:pStyle w:val="Prrafodelista"/>
        <w:numPr>
          <w:ilvl w:val="0"/>
          <w:numId w:val="9"/>
        </w:numPr>
        <w:spacing w:before="120" w:after="120" w:line="240" w:lineRule="auto"/>
        <w:jc w:val="both"/>
        <w:rPr>
          <w:rFonts w:ascii="Arial" w:hAnsi="Arial" w:cs="Arial"/>
          <w:b/>
          <w:sz w:val="24"/>
          <w:szCs w:val="24"/>
        </w:rPr>
      </w:pPr>
      <w:r w:rsidRPr="00B2569C">
        <w:rPr>
          <w:rFonts w:ascii="Arial" w:hAnsi="Arial" w:cs="Arial"/>
          <w:b/>
          <w:sz w:val="24"/>
          <w:szCs w:val="24"/>
        </w:rPr>
        <w:t>Antecedentes: De la necesidad de conformar un Observatorio para la Equidad en Calidad de Vida y Salud de Bogotá</w:t>
      </w:r>
      <w:r w:rsidR="0047412D" w:rsidRPr="00B2569C">
        <w:rPr>
          <w:rFonts w:ascii="Arial" w:hAnsi="Arial" w:cs="Arial"/>
          <w:b/>
          <w:sz w:val="24"/>
          <w:szCs w:val="24"/>
        </w:rPr>
        <w:t xml:space="preserve"> (OECVSB)</w:t>
      </w:r>
      <w:r w:rsidRPr="00B2569C">
        <w:rPr>
          <w:rFonts w:ascii="Arial" w:hAnsi="Arial" w:cs="Arial"/>
          <w:b/>
          <w:sz w:val="24"/>
          <w:szCs w:val="24"/>
        </w:rPr>
        <w:t>.</w:t>
      </w:r>
    </w:p>
    <w:p w:rsidR="003A609F" w:rsidRPr="00B2569C" w:rsidRDefault="003A609F" w:rsidP="00B2569C">
      <w:pPr>
        <w:pStyle w:val="Prrafodelista"/>
        <w:spacing w:before="120" w:after="120" w:line="240" w:lineRule="auto"/>
        <w:ind w:left="360"/>
        <w:jc w:val="both"/>
        <w:rPr>
          <w:rFonts w:ascii="Arial" w:hAnsi="Arial" w:cs="Arial"/>
          <w:b/>
          <w:sz w:val="24"/>
          <w:szCs w:val="24"/>
        </w:rPr>
      </w:pPr>
    </w:p>
    <w:p w:rsidR="0047412D" w:rsidRDefault="00B63E32" w:rsidP="00D85868">
      <w:pPr>
        <w:pStyle w:val="Prrafodelista"/>
        <w:numPr>
          <w:ilvl w:val="1"/>
          <w:numId w:val="9"/>
        </w:numPr>
        <w:spacing w:before="120" w:after="120" w:line="240" w:lineRule="auto"/>
        <w:ind w:left="0" w:firstLine="0"/>
        <w:jc w:val="both"/>
        <w:rPr>
          <w:rFonts w:ascii="Arial" w:hAnsi="Arial" w:cs="Arial"/>
          <w:sz w:val="24"/>
          <w:szCs w:val="24"/>
        </w:rPr>
      </w:pPr>
      <w:r w:rsidRPr="00B2569C">
        <w:rPr>
          <w:rFonts w:ascii="Arial" w:hAnsi="Arial" w:cs="Arial"/>
          <w:b/>
          <w:sz w:val="24"/>
          <w:szCs w:val="24"/>
        </w:rPr>
        <w:t>La equidad en salud.</w:t>
      </w:r>
      <w:r w:rsidRPr="00B2569C">
        <w:rPr>
          <w:rFonts w:ascii="Arial" w:hAnsi="Arial" w:cs="Arial"/>
          <w:sz w:val="24"/>
          <w:szCs w:val="24"/>
        </w:rPr>
        <w:t xml:space="preserve"> </w:t>
      </w:r>
    </w:p>
    <w:p w:rsidR="00A138E1" w:rsidRPr="00B2569C" w:rsidRDefault="00A138E1" w:rsidP="00A138E1">
      <w:pPr>
        <w:pStyle w:val="Prrafodelista"/>
        <w:spacing w:before="120" w:after="120" w:line="240" w:lineRule="auto"/>
        <w:ind w:left="0"/>
        <w:jc w:val="both"/>
        <w:rPr>
          <w:rFonts w:ascii="Arial" w:hAnsi="Arial" w:cs="Arial"/>
          <w:sz w:val="24"/>
          <w:szCs w:val="24"/>
        </w:rPr>
      </w:pPr>
    </w:p>
    <w:p w:rsidR="00B63E32" w:rsidRPr="00B2569C" w:rsidRDefault="00B63E32" w:rsidP="00B2569C">
      <w:pPr>
        <w:pStyle w:val="Prrafodelista"/>
        <w:spacing w:before="120" w:after="120" w:line="240" w:lineRule="auto"/>
        <w:ind w:left="0"/>
        <w:jc w:val="both"/>
        <w:rPr>
          <w:rFonts w:ascii="Arial" w:hAnsi="Arial" w:cs="Arial"/>
          <w:sz w:val="24"/>
          <w:szCs w:val="24"/>
        </w:rPr>
      </w:pPr>
      <w:r w:rsidRPr="00B2569C">
        <w:rPr>
          <w:rFonts w:ascii="Arial" w:hAnsi="Arial" w:cs="Arial"/>
          <w:sz w:val="24"/>
          <w:szCs w:val="24"/>
        </w:rPr>
        <w:t>E</w:t>
      </w:r>
      <w:r w:rsidR="00F617D9" w:rsidRPr="00B2569C">
        <w:rPr>
          <w:rFonts w:ascii="Arial" w:hAnsi="Arial" w:cs="Arial"/>
          <w:sz w:val="24"/>
          <w:szCs w:val="24"/>
        </w:rPr>
        <w:t>n las últimas décadas, e</w:t>
      </w:r>
      <w:r w:rsidRPr="00B2569C">
        <w:rPr>
          <w:rFonts w:ascii="Arial" w:hAnsi="Arial" w:cs="Arial"/>
          <w:sz w:val="24"/>
          <w:szCs w:val="24"/>
        </w:rPr>
        <w:t xml:space="preserve">l mundo contemporáneo ha reducido los indicadores de morbilidad y mortalidad en su conjunto, pero, aún se presentan enormes desigualdades entre regiones y países, así como al interior de estos, entre ciudades, regiones, zonas urbanas y  rurales, y entre los diversos grupos sociales. Las desigualdades en la calidad de vida y salud son producidas por las condiciones económicas, geográficas o ambientales de los grupos humanos. La Organización Mundial de la Salud (OMS) reconoce que la mayor parte de los problemas de salud son el resultado de las condiciones socio económicas en que viven las personas, por lo que es necesario diseñar estrategias que incidan sobre los determinantes de la salud para dar una respuesta integral. </w:t>
      </w:r>
    </w:p>
    <w:p w:rsidR="00B63E32" w:rsidRPr="00B2569C" w:rsidRDefault="00B63E32" w:rsidP="00B2569C">
      <w:pPr>
        <w:spacing w:before="120" w:after="120" w:line="240" w:lineRule="auto"/>
        <w:jc w:val="both"/>
        <w:rPr>
          <w:rFonts w:ascii="Arial" w:hAnsi="Arial" w:cs="Arial"/>
          <w:sz w:val="24"/>
          <w:szCs w:val="24"/>
        </w:rPr>
      </w:pPr>
      <w:r w:rsidRPr="00B2569C">
        <w:rPr>
          <w:rFonts w:ascii="Arial" w:hAnsi="Arial" w:cs="Arial"/>
          <w:sz w:val="24"/>
          <w:szCs w:val="24"/>
        </w:rPr>
        <w:t>La importancia que tiene la equidad en calidad de vida y salud en el debate político público contemporáneo se expresa en las Declaraciones de organismos intergubernamentales como la “</w:t>
      </w:r>
      <w:r w:rsidRPr="00B2569C">
        <w:rPr>
          <w:rFonts w:ascii="Arial" w:hAnsi="Arial" w:cs="Arial"/>
          <w:i/>
          <w:sz w:val="24"/>
          <w:szCs w:val="24"/>
        </w:rPr>
        <w:t>Agenda 21</w:t>
      </w:r>
      <w:r w:rsidRPr="00B2569C">
        <w:rPr>
          <w:rFonts w:ascii="Arial" w:hAnsi="Arial" w:cs="Arial"/>
          <w:sz w:val="24"/>
          <w:szCs w:val="24"/>
        </w:rPr>
        <w:t>” de la Organización de las Naciones Unidas (ONU) y políticas como “</w:t>
      </w:r>
      <w:r w:rsidRPr="00B2569C">
        <w:rPr>
          <w:rFonts w:ascii="Arial" w:hAnsi="Arial" w:cs="Arial"/>
          <w:i/>
          <w:sz w:val="24"/>
          <w:szCs w:val="24"/>
        </w:rPr>
        <w:t>Salud para todos en el siglo XXI</w:t>
      </w:r>
      <w:r w:rsidRPr="00B2569C">
        <w:rPr>
          <w:rFonts w:ascii="Arial" w:hAnsi="Arial" w:cs="Arial"/>
          <w:sz w:val="24"/>
          <w:szCs w:val="24"/>
        </w:rPr>
        <w:t>” promulgada por la Organización Mundial de la Salud (OMS), la cual pretende mejorar la equidad en salud entre diversos grupos de población, así como fortalecer la salud a lo largo de la vida. Para el logro de lo anterior, es necesario realizar inversión en salud en edades tempranas y reducir las enfermedades a partir de una estrategia integral que involucre la promoción, la prevención y el tratamiento, en un entorno físico sano y seguro, lo que implica mejorar las condiciones sociales, económicas y ambientales promoviendo escenarios físicos y sociales favorables a la salud de toda la población, de tal manera que entender la salud como el desarrollo de las capacidades y las potencialidades en términos positivos, pero medibles, requiere de acciones de mayor alcance que la simple asistencia sanitaria.</w:t>
      </w:r>
    </w:p>
    <w:p w:rsidR="0047412D" w:rsidRPr="00B2569C" w:rsidRDefault="00B63E32" w:rsidP="00D85868">
      <w:pPr>
        <w:pStyle w:val="Prrafodelista"/>
        <w:numPr>
          <w:ilvl w:val="1"/>
          <w:numId w:val="9"/>
        </w:numPr>
        <w:spacing w:before="120" w:after="120" w:line="240" w:lineRule="auto"/>
        <w:ind w:left="0" w:firstLine="0"/>
        <w:jc w:val="both"/>
        <w:rPr>
          <w:rFonts w:ascii="Arial" w:hAnsi="Arial" w:cs="Arial"/>
          <w:sz w:val="24"/>
          <w:szCs w:val="24"/>
        </w:rPr>
      </w:pPr>
      <w:r w:rsidRPr="00B2569C">
        <w:rPr>
          <w:rFonts w:ascii="Arial" w:hAnsi="Arial" w:cs="Arial"/>
          <w:b/>
          <w:sz w:val="24"/>
          <w:szCs w:val="24"/>
        </w:rPr>
        <w:t>Las inequidades en salud en Bogotá, D.C.</w:t>
      </w:r>
      <w:r w:rsidRPr="00B2569C">
        <w:rPr>
          <w:rFonts w:ascii="Arial" w:hAnsi="Arial" w:cs="Arial"/>
          <w:sz w:val="24"/>
          <w:szCs w:val="24"/>
        </w:rPr>
        <w:t xml:space="preserve"> </w:t>
      </w:r>
    </w:p>
    <w:p w:rsidR="00B63E32" w:rsidRPr="00B2569C" w:rsidRDefault="00B63E32" w:rsidP="00B2569C">
      <w:pPr>
        <w:pStyle w:val="Prrafodelista"/>
        <w:spacing w:before="120" w:after="120" w:line="240" w:lineRule="auto"/>
        <w:ind w:left="0"/>
        <w:jc w:val="both"/>
        <w:rPr>
          <w:rFonts w:ascii="Arial" w:hAnsi="Arial" w:cs="Arial"/>
          <w:sz w:val="24"/>
          <w:szCs w:val="24"/>
        </w:rPr>
      </w:pPr>
      <w:r w:rsidRPr="00B2569C">
        <w:rPr>
          <w:rFonts w:ascii="Arial" w:hAnsi="Arial" w:cs="Arial"/>
          <w:sz w:val="24"/>
          <w:szCs w:val="24"/>
        </w:rPr>
        <w:t xml:space="preserve">Respecto a la situación de la salud en Bogotá, aunque en términos generales la ciudad ha experimentado importantes procesos de modernización y adecuación de su infraestructura, en el plano social persisten las desigualdades sociales entre las localidades. Por otra parte, el Sistema  General de Seguridad Social en Salud (SGSSS) presenta problemas de fragmentación, barreras de acceso y desigual atención para la población con recursos y sin ellos. Además de la precariedad de la promoción de la salud, la prevención de la enfermedad, y la ausencia de la participación social en la política de salud. Esta situación se relaciona con el incremento de la pobreza en la ciudad, el incremento del desempleo, la informalidad laboral, el desplazamiento forzado de grandes masas de poblaciones a la ciudad en los últimos años, entre otros factores, los cuales inciden negativamente en el acceso a centros, bienes y servicios de salud. </w:t>
      </w:r>
    </w:p>
    <w:p w:rsidR="00B63E32" w:rsidRPr="00B2569C" w:rsidRDefault="00B63E32" w:rsidP="00B2569C">
      <w:pPr>
        <w:spacing w:before="120" w:after="120" w:line="240" w:lineRule="auto"/>
        <w:jc w:val="both"/>
        <w:rPr>
          <w:rFonts w:ascii="Arial" w:hAnsi="Arial" w:cs="Arial"/>
          <w:sz w:val="24"/>
          <w:szCs w:val="24"/>
        </w:rPr>
      </w:pPr>
      <w:r w:rsidRPr="00B2569C">
        <w:rPr>
          <w:rFonts w:ascii="Arial" w:hAnsi="Arial" w:cs="Arial"/>
          <w:sz w:val="24"/>
          <w:szCs w:val="24"/>
        </w:rPr>
        <w:t xml:space="preserve">El crecimiento urbano de la ciudad impacta negativamente la situación de salud (cambios epidemiológicos a partir de las condiciones ambientales, hacinamiento, problemas de convivencia y movilidad), así como una mayor carga para el Sistema Distrital de Salud ante la presencia de nuevas enfermedades. Por otra parte, desde el año 2004, la política distrital de salud, se orientó por un enfoque promocional de calidad de vida y salud, con el fin de garantizar el derecho a la salud, mediante una serie de estrategias ordenadas por la Atención Primaria en Salud (APS), para generar procesos de transformación del sector hacia la integralidad, la accesibilidad a los servicios, y la superación de inequidades en salud y el mejoramiento de la calidad de vida. En dicho contexto, la Administración Distrital, en cabeza de la Secretaría Distrital de Salud, se ha interesado en el monitoreo e intervención de tales inequidades como referentes para el diseño e implementación de políticas públicas orientadas por la equidad y la calidad de vida de la ciudad. </w:t>
      </w:r>
    </w:p>
    <w:p w:rsidR="0047412D" w:rsidRPr="00B2569C" w:rsidRDefault="00B63E32" w:rsidP="00D85868">
      <w:pPr>
        <w:pStyle w:val="Prrafodelista"/>
        <w:numPr>
          <w:ilvl w:val="1"/>
          <w:numId w:val="9"/>
        </w:numPr>
        <w:spacing w:before="120" w:after="120" w:line="240" w:lineRule="auto"/>
        <w:ind w:left="0" w:firstLine="0"/>
        <w:jc w:val="both"/>
        <w:rPr>
          <w:rFonts w:ascii="Arial" w:hAnsi="Arial" w:cs="Arial"/>
          <w:sz w:val="24"/>
          <w:szCs w:val="24"/>
        </w:rPr>
      </w:pPr>
      <w:r w:rsidRPr="00B2569C">
        <w:rPr>
          <w:rFonts w:ascii="Arial" w:hAnsi="Arial" w:cs="Arial"/>
          <w:b/>
          <w:sz w:val="24"/>
          <w:szCs w:val="24"/>
        </w:rPr>
        <w:t>Sistematización de experiencias de observatorios de equidad en salud.</w:t>
      </w:r>
      <w:r w:rsidRPr="00B2569C">
        <w:rPr>
          <w:rFonts w:ascii="Arial" w:hAnsi="Arial" w:cs="Arial"/>
          <w:sz w:val="24"/>
          <w:szCs w:val="24"/>
        </w:rPr>
        <w:t xml:space="preserve"> </w:t>
      </w:r>
    </w:p>
    <w:p w:rsidR="00675265" w:rsidRDefault="00675265" w:rsidP="00675265">
      <w:pPr>
        <w:pStyle w:val="Prrafodelista"/>
        <w:spacing w:before="120" w:after="120" w:line="240" w:lineRule="auto"/>
        <w:ind w:left="0"/>
        <w:jc w:val="both"/>
        <w:rPr>
          <w:rFonts w:ascii="Arial" w:hAnsi="Arial" w:cs="Arial"/>
          <w:sz w:val="24"/>
          <w:szCs w:val="24"/>
        </w:rPr>
      </w:pPr>
      <w:r>
        <w:rPr>
          <w:rFonts w:ascii="Arial" w:hAnsi="Arial" w:cs="Arial"/>
          <w:sz w:val="24"/>
          <w:szCs w:val="24"/>
        </w:rPr>
        <w:t xml:space="preserve">En el </w:t>
      </w:r>
      <w:r w:rsidRPr="00B2569C">
        <w:rPr>
          <w:rFonts w:ascii="Arial" w:hAnsi="Arial" w:cs="Arial"/>
          <w:sz w:val="24"/>
          <w:szCs w:val="24"/>
        </w:rPr>
        <w:t>proceso de desarrollo del O</w:t>
      </w:r>
      <w:r>
        <w:rPr>
          <w:rFonts w:ascii="Arial" w:hAnsi="Arial" w:cs="Arial"/>
          <w:sz w:val="24"/>
          <w:szCs w:val="24"/>
        </w:rPr>
        <w:t xml:space="preserve">bservatorio, entre los años 2006 y 2007, se analizaron diversas </w:t>
      </w:r>
      <w:r w:rsidR="00B63E32" w:rsidRPr="00B2569C">
        <w:rPr>
          <w:rFonts w:ascii="Arial" w:hAnsi="Arial" w:cs="Arial"/>
          <w:sz w:val="24"/>
          <w:szCs w:val="24"/>
        </w:rPr>
        <w:t xml:space="preserve">experiencias internacionales </w:t>
      </w:r>
      <w:r w:rsidR="00F617D9" w:rsidRPr="00B2569C">
        <w:rPr>
          <w:rFonts w:ascii="Arial" w:hAnsi="Arial" w:cs="Arial"/>
          <w:sz w:val="24"/>
          <w:szCs w:val="24"/>
        </w:rPr>
        <w:t>y nacionales sobre observatorios de equidad en salud</w:t>
      </w:r>
      <w:r>
        <w:rPr>
          <w:rFonts w:ascii="Arial" w:hAnsi="Arial" w:cs="Arial"/>
          <w:sz w:val="24"/>
          <w:szCs w:val="24"/>
        </w:rPr>
        <w:t xml:space="preserve">, lo cual posibilitó a </w:t>
      </w:r>
      <w:r w:rsidR="00F617D9" w:rsidRPr="00B2569C">
        <w:rPr>
          <w:rFonts w:ascii="Arial" w:hAnsi="Arial" w:cs="Arial"/>
          <w:sz w:val="24"/>
          <w:szCs w:val="24"/>
        </w:rPr>
        <w:t xml:space="preserve">la Secretaría Distrital de Salud </w:t>
      </w:r>
      <w:r w:rsidR="00B63E32" w:rsidRPr="00B2569C">
        <w:rPr>
          <w:rFonts w:ascii="Arial" w:hAnsi="Arial" w:cs="Arial"/>
          <w:sz w:val="24"/>
          <w:szCs w:val="24"/>
        </w:rPr>
        <w:t xml:space="preserve">conocer </w:t>
      </w:r>
      <w:r w:rsidR="00D738CB" w:rsidRPr="00B2569C">
        <w:rPr>
          <w:rFonts w:ascii="Arial" w:hAnsi="Arial" w:cs="Arial"/>
          <w:sz w:val="24"/>
          <w:szCs w:val="24"/>
        </w:rPr>
        <w:t>di</w:t>
      </w:r>
      <w:r>
        <w:rPr>
          <w:rFonts w:ascii="Arial" w:hAnsi="Arial" w:cs="Arial"/>
          <w:sz w:val="24"/>
          <w:szCs w:val="24"/>
        </w:rPr>
        <w:t xml:space="preserve">stintas </w:t>
      </w:r>
      <w:r w:rsidR="00B63E32" w:rsidRPr="00B2569C">
        <w:rPr>
          <w:rFonts w:ascii="Arial" w:hAnsi="Arial" w:cs="Arial"/>
          <w:sz w:val="24"/>
          <w:szCs w:val="24"/>
        </w:rPr>
        <w:t>perspectivas teóricas</w:t>
      </w:r>
      <w:r w:rsidR="00F617D9" w:rsidRPr="00B2569C">
        <w:rPr>
          <w:rFonts w:ascii="Arial" w:hAnsi="Arial" w:cs="Arial"/>
          <w:sz w:val="24"/>
          <w:szCs w:val="24"/>
        </w:rPr>
        <w:t xml:space="preserve"> y metodológicas sobre el tema</w:t>
      </w:r>
      <w:r w:rsidR="00B63E32" w:rsidRPr="00B2569C">
        <w:rPr>
          <w:rFonts w:ascii="Arial" w:hAnsi="Arial" w:cs="Arial"/>
          <w:sz w:val="24"/>
          <w:szCs w:val="24"/>
        </w:rPr>
        <w:t xml:space="preserve">, </w:t>
      </w:r>
      <w:r w:rsidR="00F617D9" w:rsidRPr="00B2569C">
        <w:rPr>
          <w:rFonts w:ascii="Arial" w:hAnsi="Arial" w:cs="Arial"/>
          <w:sz w:val="24"/>
          <w:szCs w:val="24"/>
        </w:rPr>
        <w:t xml:space="preserve">así como </w:t>
      </w:r>
      <w:r w:rsidR="00D738CB" w:rsidRPr="00B2569C">
        <w:rPr>
          <w:rFonts w:ascii="Arial" w:hAnsi="Arial" w:cs="Arial"/>
          <w:sz w:val="24"/>
          <w:szCs w:val="24"/>
        </w:rPr>
        <w:t xml:space="preserve">diseños y </w:t>
      </w:r>
      <w:r w:rsidR="00B63E32" w:rsidRPr="00B2569C">
        <w:rPr>
          <w:rFonts w:ascii="Arial" w:hAnsi="Arial" w:cs="Arial"/>
          <w:sz w:val="24"/>
          <w:szCs w:val="24"/>
        </w:rPr>
        <w:t>procesos exitosos</w:t>
      </w:r>
      <w:r>
        <w:rPr>
          <w:rFonts w:ascii="Arial" w:hAnsi="Arial" w:cs="Arial"/>
          <w:sz w:val="24"/>
          <w:szCs w:val="24"/>
        </w:rPr>
        <w:t>, lo que permitió delinear la fundamentación conceptual y metodológica del OECVSB</w:t>
      </w:r>
      <w:r w:rsidR="00F617D9" w:rsidRPr="00B2569C">
        <w:rPr>
          <w:rFonts w:ascii="Arial" w:hAnsi="Arial" w:cs="Arial"/>
          <w:sz w:val="24"/>
          <w:szCs w:val="24"/>
        </w:rPr>
        <w:t xml:space="preserve">. </w:t>
      </w:r>
    </w:p>
    <w:p w:rsidR="00675265" w:rsidRDefault="00675265" w:rsidP="00675265">
      <w:pPr>
        <w:pStyle w:val="Prrafodelista"/>
        <w:spacing w:before="120" w:after="120" w:line="240" w:lineRule="auto"/>
        <w:ind w:left="0"/>
        <w:jc w:val="both"/>
        <w:rPr>
          <w:rFonts w:ascii="Arial" w:hAnsi="Arial" w:cs="Arial"/>
          <w:sz w:val="24"/>
          <w:szCs w:val="24"/>
        </w:rPr>
      </w:pPr>
    </w:p>
    <w:p w:rsidR="006E3013" w:rsidRDefault="00F617D9" w:rsidP="00675265">
      <w:pPr>
        <w:pStyle w:val="Prrafodelista"/>
        <w:spacing w:before="120" w:after="120" w:line="240" w:lineRule="auto"/>
        <w:ind w:left="0"/>
        <w:jc w:val="both"/>
        <w:rPr>
          <w:rFonts w:ascii="Arial" w:hAnsi="Arial" w:cs="Arial"/>
          <w:sz w:val="24"/>
          <w:szCs w:val="24"/>
        </w:rPr>
      </w:pPr>
      <w:r w:rsidRPr="00B2569C">
        <w:rPr>
          <w:rFonts w:ascii="Arial" w:hAnsi="Arial" w:cs="Arial"/>
          <w:sz w:val="24"/>
          <w:szCs w:val="24"/>
        </w:rPr>
        <w:t>De las experiencias en otras ciudades del mundo, se destacan</w:t>
      </w:r>
      <w:r w:rsidR="00D738CB" w:rsidRPr="00B2569C">
        <w:rPr>
          <w:rFonts w:ascii="Arial" w:hAnsi="Arial" w:cs="Arial"/>
          <w:sz w:val="24"/>
          <w:szCs w:val="24"/>
        </w:rPr>
        <w:t xml:space="preserve"> la de </w:t>
      </w:r>
      <w:r w:rsidRPr="00B2569C">
        <w:rPr>
          <w:rFonts w:ascii="Arial" w:hAnsi="Arial" w:cs="Arial"/>
          <w:sz w:val="24"/>
          <w:szCs w:val="24"/>
        </w:rPr>
        <w:t xml:space="preserve">Londres, Montreal y Quebec. Entre </w:t>
      </w:r>
      <w:r w:rsidR="00B63E32" w:rsidRPr="00B2569C">
        <w:rPr>
          <w:rFonts w:ascii="Arial" w:hAnsi="Arial" w:cs="Arial"/>
          <w:sz w:val="24"/>
          <w:szCs w:val="24"/>
        </w:rPr>
        <w:t xml:space="preserve">las experiencias colombianas analizadas </w:t>
      </w:r>
      <w:r w:rsidRPr="00B2569C">
        <w:rPr>
          <w:rFonts w:ascii="Arial" w:hAnsi="Arial" w:cs="Arial"/>
          <w:sz w:val="24"/>
          <w:szCs w:val="24"/>
        </w:rPr>
        <w:t xml:space="preserve">están: </w:t>
      </w:r>
      <w:r w:rsidR="00B63E32" w:rsidRPr="00B2569C">
        <w:rPr>
          <w:rFonts w:ascii="Arial" w:hAnsi="Arial" w:cs="Arial"/>
          <w:sz w:val="24"/>
          <w:szCs w:val="24"/>
        </w:rPr>
        <w:t>el Observatorio de Seguridad Social de Antioquia</w:t>
      </w:r>
      <w:r w:rsidRPr="00B2569C">
        <w:rPr>
          <w:rFonts w:ascii="Arial" w:hAnsi="Arial" w:cs="Arial"/>
          <w:sz w:val="24"/>
          <w:szCs w:val="24"/>
        </w:rPr>
        <w:t xml:space="preserve">, </w:t>
      </w:r>
      <w:r w:rsidR="00B63E32" w:rsidRPr="00B2569C">
        <w:rPr>
          <w:rFonts w:ascii="Arial" w:hAnsi="Arial" w:cs="Arial"/>
          <w:sz w:val="24"/>
          <w:szCs w:val="24"/>
        </w:rPr>
        <w:t>como pionera en integrar las relaciones entre economía, salud y desarrollo, su enfoque académico, y las líneas de investigación de carácter interdisciplinario</w:t>
      </w:r>
      <w:r w:rsidRPr="00B2569C">
        <w:rPr>
          <w:rFonts w:ascii="Arial" w:hAnsi="Arial" w:cs="Arial"/>
          <w:sz w:val="24"/>
          <w:szCs w:val="24"/>
        </w:rPr>
        <w:t xml:space="preserve">; el </w:t>
      </w:r>
      <w:r w:rsidR="00B63E32" w:rsidRPr="00B2569C">
        <w:rPr>
          <w:rFonts w:ascii="Arial" w:hAnsi="Arial" w:cs="Arial"/>
          <w:sz w:val="24"/>
          <w:szCs w:val="24"/>
        </w:rPr>
        <w:t>Observatorio de Salud Pública de Santander</w:t>
      </w:r>
      <w:r w:rsidRPr="00B2569C">
        <w:rPr>
          <w:rFonts w:ascii="Arial" w:hAnsi="Arial" w:cs="Arial"/>
          <w:sz w:val="24"/>
          <w:szCs w:val="24"/>
        </w:rPr>
        <w:t xml:space="preserve">, el cual fue el </w:t>
      </w:r>
      <w:r w:rsidR="00B63E32" w:rsidRPr="00B2569C">
        <w:rPr>
          <w:rFonts w:ascii="Arial" w:hAnsi="Arial" w:cs="Arial"/>
          <w:sz w:val="24"/>
          <w:szCs w:val="24"/>
        </w:rPr>
        <w:t xml:space="preserve">resultado de un claro propósito de integración interinstitucional, que involucró tanto a la gobernación como a los municipios, además del apoyo del Ministerio de la Protección Social y la Organización panamericana de la Salud (OPS). </w:t>
      </w:r>
    </w:p>
    <w:p w:rsidR="00D738CB" w:rsidRDefault="00D738CB" w:rsidP="00B2569C">
      <w:pPr>
        <w:pStyle w:val="Prrafodelista"/>
        <w:spacing w:before="120" w:after="120" w:line="240" w:lineRule="auto"/>
        <w:ind w:left="0"/>
        <w:jc w:val="both"/>
        <w:rPr>
          <w:rFonts w:ascii="Arial" w:hAnsi="Arial" w:cs="Arial"/>
          <w:sz w:val="24"/>
          <w:szCs w:val="24"/>
        </w:rPr>
      </w:pPr>
      <w:r w:rsidRPr="00B2569C">
        <w:rPr>
          <w:rFonts w:ascii="Arial" w:hAnsi="Arial" w:cs="Arial"/>
          <w:sz w:val="24"/>
          <w:szCs w:val="24"/>
        </w:rPr>
        <w:t>De la investigación sobre las experiencias de otros observatorios se destacan los siguientes aprendizajes: la manera cómo se conceptualiza la equidad en calidad de vida y salud; los propósitos de dichos observatorios; las líneas y programas de investigación desarrolladas; las fuentes de información que utilizan; las metodologías para el análisis de la misma; los indicadores construidos; los informes producidos; los mecanismos de divulgación de sus resultados; sus fuentes de financiación; la articulación con las personas que diseñan, implementan y ejecutan las políticas públicas; el examen de sus estructuras investigativas, técnicas y operativas; su interacción con instituciones y actores sociales; entre otros aspectos. Se propuso adoptar para el Observatorio el enfoque metodológico basado en los determinantes sociales y estructurales de la salud.</w:t>
      </w:r>
    </w:p>
    <w:p w:rsidR="006E3013" w:rsidRDefault="006E3013" w:rsidP="006E3013">
      <w:pPr>
        <w:pStyle w:val="Prrafodelista"/>
        <w:spacing w:before="120" w:after="120" w:line="240" w:lineRule="auto"/>
        <w:ind w:left="0"/>
        <w:jc w:val="both"/>
        <w:rPr>
          <w:rFonts w:ascii="Arial" w:hAnsi="Arial" w:cs="Arial"/>
          <w:sz w:val="24"/>
          <w:szCs w:val="24"/>
          <w:lang w:val="es-ES"/>
        </w:rPr>
      </w:pPr>
      <w:r w:rsidRPr="00B2569C">
        <w:rPr>
          <w:rFonts w:ascii="Arial" w:hAnsi="Arial" w:cs="Arial"/>
          <w:sz w:val="24"/>
          <w:szCs w:val="24"/>
        </w:rPr>
        <w:t>Finalmente, la propia experiencia que desde el año 2006, ha</w:t>
      </w:r>
      <w:r>
        <w:rPr>
          <w:rFonts w:ascii="Arial" w:hAnsi="Arial" w:cs="Arial"/>
          <w:sz w:val="24"/>
          <w:szCs w:val="24"/>
        </w:rPr>
        <w:t xml:space="preserve">bía </w:t>
      </w:r>
      <w:r w:rsidRPr="00B2569C">
        <w:rPr>
          <w:rFonts w:ascii="Arial" w:hAnsi="Arial" w:cs="Arial"/>
          <w:sz w:val="24"/>
          <w:szCs w:val="24"/>
        </w:rPr>
        <w:t>venido desarrollando la Secretaría Distrital de Salud de Bogotá D.C. con la Universidad Nacional de Colombia, para la conformación de un Observatorio para la Equidad en Calidad de Vida y Salud para el Distrito Capital.</w:t>
      </w:r>
      <w:r>
        <w:rPr>
          <w:rFonts w:ascii="Arial" w:hAnsi="Arial" w:cs="Arial"/>
          <w:sz w:val="24"/>
          <w:szCs w:val="24"/>
        </w:rPr>
        <w:t xml:space="preserve"> En este orden de ideas, en el periodo </w:t>
      </w:r>
      <w:r w:rsidRPr="00B2569C">
        <w:rPr>
          <w:rFonts w:ascii="Arial" w:hAnsi="Arial" w:cs="Arial"/>
          <w:sz w:val="24"/>
          <w:szCs w:val="24"/>
          <w:lang w:val="es-ES"/>
        </w:rPr>
        <w:t>2007</w:t>
      </w:r>
      <w:r>
        <w:rPr>
          <w:rFonts w:ascii="Arial" w:hAnsi="Arial" w:cs="Arial"/>
          <w:sz w:val="24"/>
          <w:szCs w:val="24"/>
          <w:lang w:val="es-ES"/>
        </w:rPr>
        <w:t>-</w:t>
      </w:r>
      <w:r w:rsidRPr="00B2569C">
        <w:rPr>
          <w:rFonts w:ascii="Arial" w:hAnsi="Arial" w:cs="Arial"/>
          <w:sz w:val="24"/>
          <w:szCs w:val="24"/>
          <w:lang w:val="es-ES"/>
        </w:rPr>
        <w:t xml:space="preserve"> 2008, se llevó a cabo la selección de indicadores</w:t>
      </w:r>
      <w:r>
        <w:rPr>
          <w:rFonts w:ascii="Arial" w:hAnsi="Arial" w:cs="Arial"/>
          <w:sz w:val="24"/>
          <w:szCs w:val="24"/>
          <w:lang w:val="es-ES"/>
        </w:rPr>
        <w:t xml:space="preserve"> del OECVSB</w:t>
      </w:r>
      <w:r w:rsidRPr="00B2569C">
        <w:rPr>
          <w:rFonts w:ascii="Arial" w:hAnsi="Arial" w:cs="Arial"/>
          <w:sz w:val="24"/>
          <w:szCs w:val="24"/>
          <w:lang w:val="es-ES"/>
        </w:rPr>
        <w:t>, se hicieron los primeros estudios y una escuela de líderes</w:t>
      </w:r>
      <w:r>
        <w:rPr>
          <w:rFonts w:ascii="Arial" w:hAnsi="Arial" w:cs="Arial"/>
          <w:sz w:val="24"/>
          <w:szCs w:val="24"/>
          <w:lang w:val="es-ES"/>
        </w:rPr>
        <w:t xml:space="preserve">. </w:t>
      </w:r>
      <w:r w:rsidRPr="00B2569C">
        <w:rPr>
          <w:rFonts w:ascii="Arial" w:hAnsi="Arial" w:cs="Arial"/>
          <w:sz w:val="24"/>
          <w:szCs w:val="24"/>
          <w:lang w:val="es-ES"/>
        </w:rPr>
        <w:t>En el periodo 2009-2010, se diseñó una encuesta piloto de equidad para la ciudad de Bogotá y realizó un análisis de la Encuesta de Calidad de Vida 2007 desde el enfoque de equidad. Finalmente, entre los años 2011-2012, se hizo un análisis de tendencias y estudios específicos</w:t>
      </w:r>
      <w:r>
        <w:rPr>
          <w:rFonts w:ascii="Arial" w:hAnsi="Arial" w:cs="Arial"/>
          <w:sz w:val="24"/>
          <w:szCs w:val="24"/>
          <w:lang w:val="es-ES"/>
        </w:rPr>
        <w:t xml:space="preserve"> (cuatro investigaciones).</w:t>
      </w:r>
    </w:p>
    <w:p w:rsidR="0047412D" w:rsidRPr="00B2569C" w:rsidRDefault="00B63E32" w:rsidP="00D85868">
      <w:pPr>
        <w:numPr>
          <w:ilvl w:val="1"/>
          <w:numId w:val="9"/>
        </w:numPr>
        <w:spacing w:before="120" w:after="120" w:line="240" w:lineRule="auto"/>
        <w:ind w:left="0" w:firstLine="0"/>
        <w:jc w:val="both"/>
        <w:rPr>
          <w:rFonts w:ascii="Arial" w:hAnsi="Arial" w:cs="Arial"/>
          <w:sz w:val="24"/>
          <w:szCs w:val="24"/>
        </w:rPr>
      </w:pPr>
      <w:r w:rsidRPr="00B2569C">
        <w:rPr>
          <w:rFonts w:ascii="Arial" w:hAnsi="Arial" w:cs="Arial"/>
          <w:b/>
          <w:sz w:val="24"/>
          <w:szCs w:val="24"/>
        </w:rPr>
        <w:t>Marco jurídico institucional del derecho a la salud</w:t>
      </w:r>
      <w:r w:rsidRPr="00B2569C">
        <w:rPr>
          <w:rFonts w:ascii="Arial" w:hAnsi="Arial" w:cs="Arial"/>
          <w:sz w:val="24"/>
          <w:szCs w:val="24"/>
        </w:rPr>
        <w:t xml:space="preserve">. </w:t>
      </w:r>
    </w:p>
    <w:p w:rsidR="00B63E32" w:rsidRDefault="00B63E32" w:rsidP="00B2569C">
      <w:pPr>
        <w:spacing w:before="120" w:after="120" w:line="240" w:lineRule="auto"/>
        <w:jc w:val="both"/>
        <w:rPr>
          <w:rFonts w:ascii="Arial" w:hAnsi="Arial" w:cs="Arial"/>
          <w:sz w:val="24"/>
          <w:szCs w:val="24"/>
        </w:rPr>
      </w:pPr>
      <w:r w:rsidRPr="00B2569C">
        <w:rPr>
          <w:rFonts w:ascii="Arial" w:hAnsi="Arial" w:cs="Arial"/>
          <w:sz w:val="24"/>
          <w:szCs w:val="24"/>
        </w:rPr>
        <w:t xml:space="preserve">Finalmente, el marco jurídico </w:t>
      </w:r>
      <w:r w:rsidR="00D573FC" w:rsidRPr="00B2569C">
        <w:rPr>
          <w:rFonts w:ascii="Arial" w:hAnsi="Arial" w:cs="Arial"/>
          <w:sz w:val="24"/>
          <w:szCs w:val="24"/>
        </w:rPr>
        <w:t xml:space="preserve">colombiano, particularmente </w:t>
      </w:r>
      <w:r w:rsidRPr="00B2569C">
        <w:rPr>
          <w:rFonts w:ascii="Arial" w:hAnsi="Arial" w:cs="Arial"/>
          <w:sz w:val="24"/>
          <w:szCs w:val="24"/>
        </w:rPr>
        <w:t>la Constitución Política de 1991</w:t>
      </w:r>
      <w:r w:rsidR="00D573FC" w:rsidRPr="00B2569C">
        <w:rPr>
          <w:rFonts w:ascii="Arial" w:hAnsi="Arial" w:cs="Arial"/>
          <w:sz w:val="24"/>
          <w:szCs w:val="24"/>
        </w:rPr>
        <w:t>,</w:t>
      </w:r>
      <w:r w:rsidRPr="00B2569C">
        <w:rPr>
          <w:rFonts w:ascii="Arial" w:hAnsi="Arial" w:cs="Arial"/>
          <w:sz w:val="24"/>
          <w:szCs w:val="24"/>
        </w:rPr>
        <w:t xml:space="preserve"> que promueven el derecho a la salud como derecho humano fundamental, ligado a otros derechos</w:t>
      </w:r>
      <w:r w:rsidR="00D573FC" w:rsidRPr="00B2569C">
        <w:rPr>
          <w:rFonts w:ascii="Arial" w:hAnsi="Arial" w:cs="Arial"/>
          <w:sz w:val="24"/>
          <w:szCs w:val="24"/>
        </w:rPr>
        <w:t xml:space="preserve"> conexos</w:t>
      </w:r>
      <w:r w:rsidRPr="00B2569C">
        <w:rPr>
          <w:rFonts w:ascii="Arial" w:hAnsi="Arial" w:cs="Arial"/>
          <w:sz w:val="24"/>
          <w:szCs w:val="24"/>
        </w:rPr>
        <w:t xml:space="preserve">, como el derecho a la vida, el derecho a un medio ambiente sano, el derecho a la igualdad, y en general, los derechos económicos, sociales y culturales, en el marco de un Estado Social de Derecho, como se declara el Estado colombiano. También </w:t>
      </w:r>
      <w:r w:rsidR="00D573FC" w:rsidRPr="00B2569C">
        <w:rPr>
          <w:rFonts w:ascii="Arial" w:hAnsi="Arial" w:cs="Arial"/>
          <w:sz w:val="24"/>
          <w:szCs w:val="24"/>
        </w:rPr>
        <w:t xml:space="preserve">diversas </w:t>
      </w:r>
      <w:r w:rsidRPr="00B2569C">
        <w:rPr>
          <w:rFonts w:ascii="Arial" w:hAnsi="Arial" w:cs="Arial"/>
          <w:sz w:val="24"/>
          <w:szCs w:val="24"/>
        </w:rPr>
        <w:t>jurisprudencia</w:t>
      </w:r>
      <w:r w:rsidR="00D573FC" w:rsidRPr="00B2569C">
        <w:rPr>
          <w:rFonts w:ascii="Arial" w:hAnsi="Arial" w:cs="Arial"/>
          <w:sz w:val="24"/>
          <w:szCs w:val="24"/>
        </w:rPr>
        <w:t>s</w:t>
      </w:r>
      <w:r w:rsidRPr="00B2569C">
        <w:rPr>
          <w:rFonts w:ascii="Arial" w:hAnsi="Arial" w:cs="Arial"/>
          <w:sz w:val="24"/>
          <w:szCs w:val="24"/>
        </w:rPr>
        <w:t xml:space="preserve"> de la Corte Constitucional relativa al Derecho a la Salud y su exigibilidad. </w:t>
      </w:r>
    </w:p>
    <w:p w:rsidR="008A1BE5" w:rsidRPr="00B2569C" w:rsidRDefault="008A1BE5" w:rsidP="00B2569C">
      <w:pPr>
        <w:spacing w:before="120" w:after="120" w:line="240" w:lineRule="auto"/>
        <w:jc w:val="both"/>
        <w:rPr>
          <w:rFonts w:ascii="Arial" w:hAnsi="Arial" w:cs="Arial"/>
          <w:sz w:val="24"/>
          <w:szCs w:val="24"/>
        </w:rPr>
      </w:pPr>
    </w:p>
    <w:p w:rsidR="00B63E32" w:rsidRPr="00B2569C" w:rsidRDefault="00B63E32" w:rsidP="00D85868">
      <w:pPr>
        <w:pStyle w:val="Prrafodelista"/>
        <w:numPr>
          <w:ilvl w:val="0"/>
          <w:numId w:val="9"/>
        </w:numPr>
        <w:spacing w:before="120" w:after="120" w:line="240" w:lineRule="auto"/>
        <w:jc w:val="both"/>
        <w:rPr>
          <w:rFonts w:ascii="Arial" w:hAnsi="Arial" w:cs="Arial"/>
          <w:b/>
          <w:sz w:val="24"/>
          <w:szCs w:val="24"/>
        </w:rPr>
      </w:pPr>
      <w:r w:rsidRPr="00B2569C">
        <w:rPr>
          <w:rFonts w:ascii="Arial" w:hAnsi="Arial" w:cs="Arial"/>
          <w:b/>
          <w:sz w:val="24"/>
          <w:szCs w:val="24"/>
        </w:rPr>
        <w:t>El Observatorio para la Equidad en Calidad de Vida y Salud de Bogotá, D.C.</w:t>
      </w:r>
    </w:p>
    <w:p w:rsidR="00D738CB" w:rsidRPr="00B2569C" w:rsidRDefault="00D738CB" w:rsidP="00B2569C">
      <w:pPr>
        <w:pStyle w:val="Prrafodelista"/>
        <w:spacing w:before="120" w:after="120" w:line="240" w:lineRule="auto"/>
        <w:ind w:left="360"/>
        <w:jc w:val="both"/>
        <w:rPr>
          <w:rFonts w:ascii="Arial" w:hAnsi="Arial" w:cs="Arial"/>
          <w:b/>
          <w:sz w:val="24"/>
          <w:szCs w:val="24"/>
        </w:rPr>
      </w:pPr>
    </w:p>
    <w:p w:rsidR="003A609F" w:rsidRPr="00B2569C" w:rsidRDefault="00D738CB" w:rsidP="00D85868">
      <w:pPr>
        <w:pStyle w:val="Prrafodelista"/>
        <w:numPr>
          <w:ilvl w:val="1"/>
          <w:numId w:val="9"/>
        </w:numPr>
        <w:spacing w:before="120" w:after="120" w:line="240" w:lineRule="auto"/>
        <w:ind w:left="0" w:firstLine="0"/>
        <w:jc w:val="both"/>
        <w:rPr>
          <w:rFonts w:ascii="Arial" w:hAnsi="Arial" w:cs="Arial"/>
          <w:sz w:val="24"/>
          <w:szCs w:val="24"/>
        </w:rPr>
      </w:pPr>
      <w:r w:rsidRPr="00B2569C">
        <w:rPr>
          <w:rFonts w:ascii="Arial" w:hAnsi="Arial" w:cs="Arial"/>
          <w:b/>
          <w:sz w:val="24"/>
          <w:szCs w:val="24"/>
        </w:rPr>
        <w:t>Definición</w:t>
      </w:r>
      <w:r w:rsidR="0047412D" w:rsidRPr="00B2569C">
        <w:rPr>
          <w:rFonts w:ascii="Arial" w:hAnsi="Arial" w:cs="Arial"/>
          <w:b/>
          <w:sz w:val="24"/>
          <w:szCs w:val="24"/>
        </w:rPr>
        <w:t>.</w:t>
      </w:r>
      <w:r w:rsidRPr="00B2569C">
        <w:rPr>
          <w:rFonts w:ascii="Arial" w:hAnsi="Arial" w:cs="Arial"/>
          <w:b/>
          <w:sz w:val="24"/>
          <w:szCs w:val="24"/>
        </w:rPr>
        <w:t xml:space="preserve"> </w:t>
      </w:r>
    </w:p>
    <w:p w:rsidR="00D92F1D" w:rsidRPr="00B2569C" w:rsidRDefault="00D92F1D" w:rsidP="00B2569C">
      <w:pPr>
        <w:autoSpaceDE w:val="0"/>
        <w:autoSpaceDN w:val="0"/>
        <w:adjustRightInd w:val="0"/>
        <w:spacing w:before="120" w:after="120" w:line="240" w:lineRule="auto"/>
        <w:jc w:val="both"/>
        <w:rPr>
          <w:rFonts w:ascii="Arial" w:hAnsi="Arial" w:cs="Arial"/>
          <w:sz w:val="24"/>
          <w:szCs w:val="24"/>
          <w:lang w:val="es-AR"/>
        </w:rPr>
      </w:pPr>
      <w:r w:rsidRPr="00B2569C">
        <w:rPr>
          <w:rFonts w:ascii="Arial" w:hAnsi="Arial" w:cs="Arial"/>
          <w:sz w:val="24"/>
          <w:szCs w:val="24"/>
          <w:lang w:val="es-AR"/>
        </w:rPr>
        <w:t xml:space="preserve">El Observatorio es un instrumento para medir, analizar, divulgar y propiciar el debate público y promover la formulación de políticas públicas para la superación de las inequidades en salud, el mejoramiento de la calidad de vida y de las condiciones ambientales, como garantía del derecho a la salud en Bogotá, D.C. Fue creado mediante el Acuerdo 364 del 1 de abril del 2009 del Concejo de Bogotá. </w:t>
      </w:r>
    </w:p>
    <w:p w:rsidR="00D92F1D" w:rsidRPr="00B2569C" w:rsidRDefault="00D92F1D" w:rsidP="00B2569C">
      <w:pPr>
        <w:autoSpaceDE w:val="0"/>
        <w:autoSpaceDN w:val="0"/>
        <w:adjustRightInd w:val="0"/>
        <w:spacing w:before="120" w:after="120" w:line="240" w:lineRule="auto"/>
        <w:jc w:val="both"/>
        <w:rPr>
          <w:rFonts w:ascii="Arial" w:hAnsi="Arial" w:cs="Arial"/>
          <w:sz w:val="24"/>
          <w:szCs w:val="24"/>
          <w:lang w:val="es-AR"/>
        </w:rPr>
      </w:pPr>
      <w:r w:rsidRPr="00B2569C">
        <w:rPr>
          <w:rFonts w:ascii="Arial" w:hAnsi="Arial" w:cs="Arial"/>
          <w:sz w:val="24"/>
          <w:szCs w:val="24"/>
          <w:lang w:val="es-AR"/>
        </w:rPr>
        <w:t>El Observatorio se plantea cuatro objetivos:</w:t>
      </w:r>
    </w:p>
    <w:p w:rsidR="00D92F1D" w:rsidRPr="00B2569C" w:rsidRDefault="00D92F1D" w:rsidP="00D85868">
      <w:pPr>
        <w:pStyle w:val="Prrafodelista"/>
        <w:numPr>
          <w:ilvl w:val="0"/>
          <w:numId w:val="3"/>
        </w:numPr>
        <w:autoSpaceDE w:val="0"/>
        <w:autoSpaceDN w:val="0"/>
        <w:adjustRightInd w:val="0"/>
        <w:spacing w:before="120" w:after="120" w:line="240" w:lineRule="auto"/>
        <w:jc w:val="both"/>
        <w:rPr>
          <w:rFonts w:ascii="Arial" w:hAnsi="Arial" w:cs="Arial"/>
          <w:sz w:val="24"/>
          <w:szCs w:val="24"/>
          <w:lang w:val="es-AR"/>
        </w:rPr>
      </w:pPr>
      <w:r w:rsidRPr="00B2569C">
        <w:rPr>
          <w:rFonts w:ascii="Arial" w:hAnsi="Arial" w:cs="Arial"/>
          <w:sz w:val="24"/>
          <w:szCs w:val="24"/>
          <w:lang w:val="es-AR"/>
        </w:rPr>
        <w:t>Medir, hacer seguimiento, evaluar e investigar las inequidades en calidad de vida y salud en Bogotá.</w:t>
      </w:r>
    </w:p>
    <w:p w:rsidR="00D92F1D" w:rsidRPr="00B2569C" w:rsidRDefault="00D92F1D" w:rsidP="00D85868">
      <w:pPr>
        <w:pStyle w:val="Prrafodelista"/>
        <w:numPr>
          <w:ilvl w:val="0"/>
          <w:numId w:val="3"/>
        </w:numPr>
        <w:autoSpaceDE w:val="0"/>
        <w:autoSpaceDN w:val="0"/>
        <w:adjustRightInd w:val="0"/>
        <w:spacing w:before="120" w:after="120" w:line="240" w:lineRule="auto"/>
        <w:jc w:val="both"/>
        <w:rPr>
          <w:rFonts w:ascii="Arial" w:hAnsi="Arial" w:cs="Arial"/>
          <w:sz w:val="24"/>
          <w:szCs w:val="24"/>
          <w:lang w:val="es-AR"/>
        </w:rPr>
      </w:pPr>
      <w:r w:rsidRPr="00B2569C">
        <w:rPr>
          <w:rFonts w:ascii="Arial" w:hAnsi="Arial" w:cs="Arial"/>
          <w:sz w:val="24"/>
          <w:szCs w:val="24"/>
          <w:lang w:val="es-AR"/>
        </w:rPr>
        <w:t>Promover la formulación de las políticas públicas distritales, con orientación hacia la equidad en calidad de vida y salud.</w:t>
      </w:r>
    </w:p>
    <w:p w:rsidR="00D92F1D" w:rsidRPr="00B2569C" w:rsidRDefault="00D92F1D" w:rsidP="00D85868">
      <w:pPr>
        <w:pStyle w:val="Prrafodelista"/>
        <w:numPr>
          <w:ilvl w:val="0"/>
          <w:numId w:val="3"/>
        </w:numPr>
        <w:autoSpaceDE w:val="0"/>
        <w:autoSpaceDN w:val="0"/>
        <w:adjustRightInd w:val="0"/>
        <w:spacing w:before="120" w:after="120" w:line="240" w:lineRule="auto"/>
        <w:jc w:val="both"/>
        <w:rPr>
          <w:rFonts w:ascii="Arial" w:hAnsi="Arial" w:cs="Arial"/>
          <w:sz w:val="24"/>
          <w:szCs w:val="24"/>
          <w:lang w:val="es-AR"/>
        </w:rPr>
      </w:pPr>
      <w:r w:rsidRPr="00B2569C">
        <w:rPr>
          <w:rFonts w:ascii="Arial" w:hAnsi="Arial" w:cs="Arial"/>
          <w:sz w:val="24"/>
          <w:szCs w:val="24"/>
          <w:lang w:val="es-AR"/>
        </w:rPr>
        <w:t>Aportar elementos para la movilización social e institucional por la equidad en calidad de vida y salud en el Distrito Capital.</w:t>
      </w:r>
    </w:p>
    <w:p w:rsidR="00D92F1D" w:rsidRPr="00B2569C" w:rsidRDefault="00D92F1D" w:rsidP="00D85868">
      <w:pPr>
        <w:pStyle w:val="Prrafodelista"/>
        <w:numPr>
          <w:ilvl w:val="0"/>
          <w:numId w:val="3"/>
        </w:numPr>
        <w:autoSpaceDE w:val="0"/>
        <w:autoSpaceDN w:val="0"/>
        <w:adjustRightInd w:val="0"/>
        <w:spacing w:before="120" w:after="120" w:line="240" w:lineRule="auto"/>
        <w:jc w:val="both"/>
        <w:rPr>
          <w:rFonts w:ascii="Arial" w:hAnsi="Arial" w:cs="Arial"/>
          <w:sz w:val="24"/>
          <w:szCs w:val="24"/>
          <w:lang w:val="es-AR"/>
        </w:rPr>
      </w:pPr>
      <w:r w:rsidRPr="00B2569C">
        <w:rPr>
          <w:rFonts w:ascii="Arial" w:hAnsi="Arial" w:cs="Arial"/>
          <w:sz w:val="24"/>
          <w:szCs w:val="24"/>
          <w:lang w:val="es-AR"/>
        </w:rPr>
        <w:t xml:space="preserve">Divulgar la información que se genere para que sea útil a los tomadores de decisiones, servidores públicos, comunidad, técnicos, entre otros. </w:t>
      </w:r>
    </w:p>
    <w:p w:rsidR="00A12238" w:rsidRPr="00B2569C" w:rsidRDefault="00D92F1D" w:rsidP="00B2569C">
      <w:pPr>
        <w:autoSpaceDE w:val="0"/>
        <w:autoSpaceDN w:val="0"/>
        <w:adjustRightInd w:val="0"/>
        <w:spacing w:before="120" w:after="120" w:line="240" w:lineRule="auto"/>
        <w:jc w:val="both"/>
        <w:rPr>
          <w:rFonts w:ascii="Arial" w:hAnsi="Arial" w:cs="Arial"/>
          <w:sz w:val="24"/>
          <w:szCs w:val="24"/>
        </w:rPr>
      </w:pPr>
      <w:r w:rsidRPr="00B2569C">
        <w:rPr>
          <w:rFonts w:ascii="Arial" w:hAnsi="Arial" w:cs="Arial"/>
          <w:sz w:val="24"/>
          <w:szCs w:val="24"/>
          <w:lang w:val="es-AR"/>
        </w:rPr>
        <w:t xml:space="preserve">El Observatorio se ha orientado hacia la construcción de un sistema de indicadores que dé cuenta de las desigualdades o desventajas entre los grupos  de población derivadas de la posición socioeconómica, el género, la etnia, los ciclos de vida, las capacidades, expresadas en los siguientes ámbitos: oportunidades para el desarrollo humano; exposición y vulnerabilidad diferencial al riesgo; acceso desigual a las respuestas institucionales; resultados desiguales en calidad de vida, ambiente y salud; impactos desiguales en la posición social. </w:t>
      </w:r>
      <w:r w:rsidRPr="00B2569C">
        <w:rPr>
          <w:rFonts w:ascii="Arial" w:hAnsi="Arial" w:cs="Arial"/>
          <w:bCs/>
          <w:sz w:val="24"/>
          <w:szCs w:val="24"/>
          <w:lang w:val="es-AR"/>
        </w:rPr>
        <w:t xml:space="preserve">Los </w:t>
      </w:r>
      <w:r w:rsidRPr="00B2569C">
        <w:rPr>
          <w:rFonts w:ascii="Arial" w:hAnsi="Arial" w:cs="Arial"/>
          <w:sz w:val="24"/>
          <w:szCs w:val="24"/>
        </w:rPr>
        <w:t>criterios</w:t>
      </w:r>
      <w:r w:rsidR="00857E17" w:rsidRPr="00B2569C">
        <w:rPr>
          <w:rFonts w:ascii="Arial" w:hAnsi="Arial" w:cs="Arial"/>
          <w:sz w:val="24"/>
          <w:szCs w:val="24"/>
        </w:rPr>
        <w:t xml:space="preserve"> orientadores</w:t>
      </w:r>
      <w:r w:rsidRPr="00B2569C">
        <w:rPr>
          <w:rFonts w:ascii="Arial" w:hAnsi="Arial" w:cs="Arial"/>
          <w:sz w:val="24"/>
          <w:szCs w:val="24"/>
        </w:rPr>
        <w:t xml:space="preserve"> del Observatorio son: </w:t>
      </w:r>
      <w:r w:rsidRPr="00B2569C">
        <w:rPr>
          <w:rFonts w:ascii="Arial" w:hAnsi="Arial" w:cs="Arial"/>
          <w:bCs/>
          <w:sz w:val="24"/>
          <w:szCs w:val="24"/>
          <w:lang w:val="es-ES"/>
        </w:rPr>
        <w:t xml:space="preserve">autonomía; </w:t>
      </w:r>
      <w:r w:rsidR="000B1450" w:rsidRPr="00B2569C">
        <w:rPr>
          <w:rFonts w:ascii="Arial" w:hAnsi="Arial" w:cs="Arial"/>
          <w:bCs/>
          <w:sz w:val="24"/>
          <w:szCs w:val="24"/>
          <w:lang w:val="es-ES"/>
        </w:rPr>
        <w:t>incidencia</w:t>
      </w:r>
      <w:r w:rsidR="00AC4144" w:rsidRPr="00B2569C">
        <w:rPr>
          <w:rFonts w:ascii="Arial" w:hAnsi="Arial" w:cs="Arial"/>
          <w:bCs/>
          <w:sz w:val="24"/>
          <w:szCs w:val="24"/>
          <w:lang w:val="es-ES"/>
        </w:rPr>
        <w:t xml:space="preserve">; veracidad; </w:t>
      </w:r>
      <w:r w:rsidR="000B1450" w:rsidRPr="00B2569C">
        <w:rPr>
          <w:rFonts w:ascii="Arial" w:hAnsi="Arial" w:cs="Arial"/>
          <w:bCs/>
          <w:sz w:val="24"/>
          <w:szCs w:val="24"/>
          <w:lang w:val="es-ES"/>
        </w:rPr>
        <w:t>participación y democratización</w:t>
      </w:r>
      <w:r w:rsidR="00AC4144" w:rsidRPr="00B2569C">
        <w:rPr>
          <w:rFonts w:ascii="Arial" w:hAnsi="Arial" w:cs="Arial"/>
          <w:bCs/>
          <w:sz w:val="24"/>
          <w:szCs w:val="24"/>
          <w:lang w:val="es-ES"/>
        </w:rPr>
        <w:t xml:space="preserve">; </w:t>
      </w:r>
      <w:r w:rsidR="000B1450" w:rsidRPr="00B2569C">
        <w:rPr>
          <w:rFonts w:ascii="Arial" w:hAnsi="Arial" w:cs="Arial"/>
          <w:bCs/>
          <w:sz w:val="24"/>
          <w:szCs w:val="24"/>
          <w:lang w:val="es-ES"/>
        </w:rPr>
        <w:t>interdisciplinar y transdisciplinar</w:t>
      </w:r>
      <w:r w:rsidR="00AC4144" w:rsidRPr="00B2569C">
        <w:rPr>
          <w:rFonts w:ascii="Arial" w:hAnsi="Arial" w:cs="Arial"/>
          <w:bCs/>
          <w:sz w:val="24"/>
          <w:szCs w:val="24"/>
          <w:lang w:val="es-ES"/>
        </w:rPr>
        <w:t xml:space="preserve">; </w:t>
      </w:r>
      <w:r w:rsidR="000B1450" w:rsidRPr="00B2569C">
        <w:rPr>
          <w:rFonts w:ascii="Arial" w:hAnsi="Arial" w:cs="Arial"/>
          <w:bCs/>
          <w:sz w:val="24"/>
          <w:szCs w:val="24"/>
          <w:lang w:val="es-ES"/>
        </w:rPr>
        <w:t xml:space="preserve">articulación y cooperación. </w:t>
      </w:r>
    </w:p>
    <w:p w:rsidR="00842DAE" w:rsidRPr="00842DAE" w:rsidRDefault="00842DAE" w:rsidP="00D85868">
      <w:pPr>
        <w:pStyle w:val="Prrafodelista"/>
        <w:numPr>
          <w:ilvl w:val="1"/>
          <w:numId w:val="9"/>
        </w:numPr>
        <w:spacing w:before="120" w:after="120" w:line="240" w:lineRule="auto"/>
        <w:jc w:val="both"/>
        <w:rPr>
          <w:rFonts w:ascii="Arial" w:hAnsi="Arial" w:cs="Arial"/>
          <w:b/>
          <w:sz w:val="24"/>
          <w:szCs w:val="24"/>
        </w:rPr>
      </w:pPr>
      <w:r w:rsidRPr="00842DAE">
        <w:rPr>
          <w:rFonts w:ascii="Arial" w:hAnsi="Arial" w:cs="Arial"/>
          <w:b/>
          <w:bCs/>
          <w:sz w:val="24"/>
          <w:szCs w:val="24"/>
        </w:rPr>
        <w:t>Equipo de trabajo del Observatorio.</w:t>
      </w:r>
    </w:p>
    <w:p w:rsidR="00C80032" w:rsidRPr="00842DAE" w:rsidRDefault="00C80032" w:rsidP="00842DAE">
      <w:pPr>
        <w:spacing w:before="120" w:after="120" w:line="240" w:lineRule="auto"/>
        <w:jc w:val="both"/>
        <w:rPr>
          <w:rFonts w:ascii="Arial" w:hAnsi="Arial" w:cs="Arial"/>
          <w:sz w:val="24"/>
          <w:szCs w:val="24"/>
        </w:rPr>
      </w:pPr>
      <w:r w:rsidRPr="00842DAE">
        <w:rPr>
          <w:rFonts w:ascii="Arial" w:hAnsi="Arial" w:cs="Arial"/>
          <w:bCs/>
          <w:sz w:val="24"/>
          <w:szCs w:val="24"/>
        </w:rPr>
        <w:t>El p</w:t>
      </w:r>
      <w:r w:rsidR="00D92F1D" w:rsidRPr="00842DAE">
        <w:rPr>
          <w:rFonts w:ascii="Arial" w:hAnsi="Arial" w:cs="Arial"/>
          <w:bCs/>
          <w:sz w:val="24"/>
          <w:szCs w:val="24"/>
        </w:rPr>
        <w:t>roceso de implementación del Observatorio</w:t>
      </w:r>
      <w:r w:rsidRPr="00842DAE">
        <w:rPr>
          <w:rFonts w:ascii="Arial" w:hAnsi="Arial" w:cs="Arial"/>
          <w:bCs/>
          <w:sz w:val="24"/>
          <w:szCs w:val="24"/>
        </w:rPr>
        <w:t xml:space="preserve"> ha sido llevado a cabo por parte de la Secretaría Distrital de Salud de Bogotá (SDS) mediante un </w:t>
      </w:r>
      <w:r w:rsidR="000B1450" w:rsidRPr="00842DAE">
        <w:rPr>
          <w:rFonts w:ascii="Arial" w:hAnsi="Arial" w:cs="Arial"/>
          <w:bCs/>
          <w:sz w:val="24"/>
          <w:szCs w:val="24"/>
          <w:lang w:val="es-ES_tradnl"/>
        </w:rPr>
        <w:t>e</w:t>
      </w:r>
      <w:r w:rsidR="00D92F1D" w:rsidRPr="00842DAE">
        <w:rPr>
          <w:rFonts w:ascii="Arial" w:hAnsi="Arial" w:cs="Arial"/>
          <w:bCs/>
          <w:sz w:val="24"/>
          <w:szCs w:val="24"/>
          <w:lang w:val="es-ES_tradnl"/>
        </w:rPr>
        <w:t xml:space="preserve">quipo de trabajo </w:t>
      </w:r>
      <w:r w:rsidR="00AC4144" w:rsidRPr="00842DAE">
        <w:rPr>
          <w:rFonts w:ascii="Arial" w:hAnsi="Arial" w:cs="Arial"/>
          <w:bCs/>
          <w:sz w:val="24"/>
          <w:szCs w:val="24"/>
          <w:lang w:val="es-ES_tradnl"/>
        </w:rPr>
        <w:t xml:space="preserve">conformado por </w:t>
      </w:r>
      <w:r w:rsidR="000B1450" w:rsidRPr="00842DAE">
        <w:rPr>
          <w:rFonts w:ascii="Arial" w:hAnsi="Arial" w:cs="Arial"/>
          <w:sz w:val="24"/>
          <w:szCs w:val="24"/>
        </w:rPr>
        <w:t xml:space="preserve">profesionales especializados/as de las Direcciones de Planeación y Sistemas; Salud Pública; Aseguramiento en Salud; Desarrollo de Servicios; Participación Social y Servicio al Ciudadano; Centro Regulador de Urgencia y Emergencias; Jurídica y Contratación; Financiera. </w:t>
      </w:r>
    </w:p>
    <w:p w:rsidR="00C80032" w:rsidRPr="00B2569C" w:rsidRDefault="00AC4144" w:rsidP="00B2569C">
      <w:pPr>
        <w:spacing w:before="120" w:after="120" w:line="240" w:lineRule="auto"/>
        <w:jc w:val="both"/>
        <w:rPr>
          <w:rFonts w:ascii="Arial" w:hAnsi="Arial" w:cs="Arial"/>
          <w:sz w:val="24"/>
          <w:szCs w:val="24"/>
        </w:rPr>
      </w:pPr>
      <w:r w:rsidRPr="00B2569C">
        <w:rPr>
          <w:rFonts w:ascii="Arial" w:hAnsi="Arial" w:cs="Arial"/>
          <w:sz w:val="24"/>
          <w:szCs w:val="24"/>
        </w:rPr>
        <w:t xml:space="preserve">En el periodo 2006-2012, </w:t>
      </w:r>
      <w:r w:rsidR="00C80032" w:rsidRPr="00B2569C">
        <w:rPr>
          <w:rFonts w:ascii="Arial" w:hAnsi="Arial" w:cs="Arial"/>
          <w:sz w:val="24"/>
          <w:szCs w:val="24"/>
        </w:rPr>
        <w:t xml:space="preserve">para el desarrollo institucional del </w:t>
      </w:r>
      <w:r w:rsidRPr="00B2569C">
        <w:rPr>
          <w:rFonts w:ascii="Arial" w:hAnsi="Arial" w:cs="Arial"/>
          <w:sz w:val="24"/>
          <w:szCs w:val="24"/>
        </w:rPr>
        <w:t>Observatorio</w:t>
      </w:r>
      <w:r w:rsidR="00C80032" w:rsidRPr="00B2569C">
        <w:rPr>
          <w:rFonts w:ascii="Arial" w:hAnsi="Arial" w:cs="Arial"/>
          <w:sz w:val="24"/>
          <w:szCs w:val="24"/>
        </w:rPr>
        <w:t xml:space="preserve">, la SDS ha suscrito </w:t>
      </w:r>
      <w:r w:rsidRPr="00B2569C">
        <w:rPr>
          <w:rFonts w:ascii="Arial" w:hAnsi="Arial" w:cs="Arial"/>
          <w:bCs/>
          <w:sz w:val="24"/>
          <w:szCs w:val="24"/>
        </w:rPr>
        <w:t>cuatro</w:t>
      </w:r>
      <w:r w:rsidR="00A1279B" w:rsidRPr="00B2569C">
        <w:rPr>
          <w:rFonts w:ascii="Arial" w:hAnsi="Arial" w:cs="Arial"/>
          <w:bCs/>
          <w:sz w:val="24"/>
          <w:szCs w:val="24"/>
        </w:rPr>
        <w:t xml:space="preserve"> convenios i</w:t>
      </w:r>
      <w:r w:rsidRPr="00B2569C">
        <w:rPr>
          <w:rFonts w:ascii="Arial" w:hAnsi="Arial" w:cs="Arial"/>
          <w:bCs/>
          <w:sz w:val="24"/>
          <w:szCs w:val="24"/>
        </w:rPr>
        <w:t>nteradministrativos con la Universidad Nacional de Colombia</w:t>
      </w:r>
      <w:r w:rsidR="00A1279B" w:rsidRPr="00B2569C">
        <w:rPr>
          <w:rFonts w:ascii="Arial" w:hAnsi="Arial" w:cs="Arial"/>
          <w:bCs/>
          <w:sz w:val="24"/>
          <w:szCs w:val="24"/>
        </w:rPr>
        <w:t>.</w:t>
      </w:r>
      <w:r w:rsidR="00C80032" w:rsidRPr="00B2569C">
        <w:rPr>
          <w:rFonts w:ascii="Arial" w:hAnsi="Arial" w:cs="Arial"/>
          <w:bCs/>
          <w:sz w:val="24"/>
          <w:szCs w:val="24"/>
        </w:rPr>
        <w:t xml:space="preserve"> En dicho contexto, se han vinculado al desarrollo del Observatorio </w:t>
      </w:r>
      <w:r w:rsidR="00A1279B" w:rsidRPr="00B2569C">
        <w:rPr>
          <w:rFonts w:ascii="Arial" w:hAnsi="Arial" w:cs="Arial"/>
          <w:sz w:val="24"/>
          <w:szCs w:val="24"/>
        </w:rPr>
        <w:t xml:space="preserve">los investigadores </w:t>
      </w:r>
      <w:r w:rsidR="00C80032" w:rsidRPr="00B2569C">
        <w:rPr>
          <w:rFonts w:ascii="Arial" w:hAnsi="Arial" w:cs="Arial"/>
          <w:sz w:val="24"/>
          <w:szCs w:val="24"/>
        </w:rPr>
        <w:t xml:space="preserve">del Grupo de Protección Social </w:t>
      </w:r>
      <w:r w:rsidR="00A1279B" w:rsidRPr="00B2569C">
        <w:rPr>
          <w:rFonts w:ascii="Arial" w:hAnsi="Arial" w:cs="Arial"/>
          <w:sz w:val="24"/>
          <w:szCs w:val="24"/>
        </w:rPr>
        <w:t>del Centro de Investigaciones para el Desarrollo (CID), de la Facultad de Ciencias Económicas</w:t>
      </w:r>
      <w:r w:rsidR="00C80032" w:rsidRPr="00B2569C">
        <w:rPr>
          <w:rFonts w:ascii="Arial" w:hAnsi="Arial" w:cs="Arial"/>
          <w:sz w:val="24"/>
          <w:szCs w:val="24"/>
        </w:rPr>
        <w:t xml:space="preserve"> de la Universidad Nacional de Colombia.</w:t>
      </w:r>
    </w:p>
    <w:p w:rsidR="00842DAE" w:rsidRPr="00842DAE" w:rsidRDefault="00842DAE" w:rsidP="00D85868">
      <w:pPr>
        <w:pStyle w:val="Prrafodelista"/>
        <w:numPr>
          <w:ilvl w:val="1"/>
          <w:numId w:val="9"/>
        </w:numPr>
        <w:spacing w:before="120" w:after="120" w:line="240" w:lineRule="auto"/>
        <w:jc w:val="both"/>
        <w:rPr>
          <w:rFonts w:ascii="Arial" w:hAnsi="Arial" w:cs="Arial"/>
          <w:b/>
          <w:bCs/>
          <w:sz w:val="24"/>
          <w:szCs w:val="24"/>
        </w:rPr>
      </w:pPr>
      <w:r w:rsidRPr="00842DAE">
        <w:rPr>
          <w:rFonts w:ascii="Arial" w:hAnsi="Arial" w:cs="Arial"/>
          <w:b/>
          <w:sz w:val="24"/>
          <w:szCs w:val="24"/>
        </w:rPr>
        <w:t>Fundamentación conceptual.</w:t>
      </w:r>
    </w:p>
    <w:p w:rsidR="00857E17" w:rsidRPr="00842DAE" w:rsidRDefault="00C80032" w:rsidP="00842DAE">
      <w:pPr>
        <w:spacing w:before="120" w:after="120" w:line="240" w:lineRule="auto"/>
        <w:jc w:val="both"/>
        <w:rPr>
          <w:rFonts w:ascii="Arial" w:hAnsi="Arial" w:cs="Arial"/>
          <w:bCs/>
          <w:sz w:val="24"/>
          <w:szCs w:val="24"/>
        </w:rPr>
      </w:pPr>
      <w:r w:rsidRPr="00842DAE">
        <w:rPr>
          <w:rFonts w:ascii="Arial" w:hAnsi="Arial" w:cs="Arial"/>
          <w:sz w:val="24"/>
          <w:szCs w:val="24"/>
        </w:rPr>
        <w:t>La f</w:t>
      </w:r>
      <w:r w:rsidR="00D92F1D" w:rsidRPr="00842DAE">
        <w:rPr>
          <w:rFonts w:ascii="Arial" w:hAnsi="Arial" w:cs="Arial"/>
          <w:sz w:val="24"/>
          <w:szCs w:val="24"/>
        </w:rPr>
        <w:t>undamentación conceptual</w:t>
      </w:r>
      <w:r w:rsidRPr="00842DAE">
        <w:rPr>
          <w:rFonts w:ascii="Arial" w:hAnsi="Arial" w:cs="Arial"/>
          <w:sz w:val="24"/>
          <w:szCs w:val="24"/>
        </w:rPr>
        <w:t xml:space="preserve"> del Observatorio está soportada en la discusión contemporánea sobre la teoría de la justicia, la equidad, la calidad de vida y los determinantes sociales de la salud.</w:t>
      </w:r>
      <w:r w:rsidR="00C235DC" w:rsidRPr="00842DAE">
        <w:rPr>
          <w:rFonts w:ascii="Arial" w:hAnsi="Arial" w:cs="Arial"/>
          <w:sz w:val="24"/>
          <w:szCs w:val="24"/>
        </w:rPr>
        <w:t xml:space="preserve"> </w:t>
      </w:r>
      <w:r w:rsidRPr="00842DAE">
        <w:rPr>
          <w:rFonts w:ascii="Arial" w:hAnsi="Arial" w:cs="Arial"/>
          <w:bCs/>
          <w:sz w:val="24"/>
          <w:szCs w:val="24"/>
          <w:lang w:val="es-ES"/>
        </w:rPr>
        <w:t xml:space="preserve">Como es bien sabido, el </w:t>
      </w:r>
      <w:r w:rsidR="00D92F1D" w:rsidRPr="00842DAE">
        <w:rPr>
          <w:rFonts w:ascii="Arial" w:hAnsi="Arial" w:cs="Arial"/>
          <w:bCs/>
          <w:sz w:val="24"/>
          <w:szCs w:val="24"/>
          <w:lang w:val="es-ES"/>
        </w:rPr>
        <w:t xml:space="preserve">Modelo de Determinantes Sociales de la Salud </w:t>
      </w:r>
      <w:r w:rsidR="00D92F1D" w:rsidRPr="00842DAE">
        <w:rPr>
          <w:rFonts w:ascii="Arial" w:hAnsi="Arial" w:cs="Arial"/>
          <w:bCs/>
          <w:sz w:val="24"/>
          <w:szCs w:val="24"/>
        </w:rPr>
        <w:t>plantea que las desigualdades en la salud no son fenómenos fortuitos ni aislados, sino que están explicadas por la configuración que asume la estructura social.</w:t>
      </w:r>
      <w:r w:rsidRPr="00842DAE">
        <w:rPr>
          <w:rFonts w:ascii="Arial" w:hAnsi="Arial" w:cs="Arial"/>
          <w:bCs/>
          <w:sz w:val="24"/>
          <w:szCs w:val="24"/>
        </w:rPr>
        <w:t xml:space="preserve"> Por su parte, la </w:t>
      </w:r>
      <w:r w:rsidR="007B1BFE" w:rsidRPr="00842DAE">
        <w:rPr>
          <w:rFonts w:ascii="Arial" w:hAnsi="Arial" w:cs="Arial"/>
          <w:sz w:val="24"/>
          <w:szCs w:val="24"/>
          <w:lang w:val="es-ES"/>
        </w:rPr>
        <w:t>equidad</w:t>
      </w:r>
      <w:r w:rsidR="000B1450" w:rsidRPr="00842DAE">
        <w:rPr>
          <w:rFonts w:ascii="Arial" w:hAnsi="Arial" w:cs="Arial"/>
          <w:sz w:val="24"/>
          <w:szCs w:val="24"/>
          <w:lang w:val="es-ES"/>
        </w:rPr>
        <w:t xml:space="preserve"> </w:t>
      </w:r>
      <w:r w:rsidR="007B1BFE" w:rsidRPr="00842DAE">
        <w:rPr>
          <w:rFonts w:ascii="Arial" w:hAnsi="Arial" w:cs="Arial"/>
          <w:sz w:val="24"/>
          <w:szCs w:val="24"/>
          <w:lang w:val="es-ES"/>
        </w:rPr>
        <w:t xml:space="preserve">en salud es conceptualizada </w:t>
      </w:r>
      <w:r w:rsidR="000B1450" w:rsidRPr="00842DAE">
        <w:rPr>
          <w:rFonts w:ascii="Arial" w:hAnsi="Arial" w:cs="Arial"/>
          <w:sz w:val="24"/>
          <w:szCs w:val="24"/>
          <w:lang w:val="es-ES"/>
        </w:rPr>
        <w:t>como una valoración de las desigualdades humanas, desde el principio de justicia distributiva y en relación con el derecho humano a la salud (Gracia, 1991; Braveman, 2001)</w:t>
      </w:r>
      <w:r w:rsidR="00857E17" w:rsidRPr="00842DAE">
        <w:rPr>
          <w:rFonts w:ascii="Arial" w:hAnsi="Arial" w:cs="Arial"/>
          <w:sz w:val="24"/>
          <w:szCs w:val="24"/>
          <w:lang w:val="es-ES"/>
        </w:rPr>
        <w:t xml:space="preserve">. </w:t>
      </w:r>
      <w:r w:rsidR="007B1BFE" w:rsidRPr="00842DAE">
        <w:rPr>
          <w:rFonts w:ascii="Arial" w:hAnsi="Arial" w:cs="Arial"/>
          <w:sz w:val="24"/>
          <w:szCs w:val="24"/>
          <w:lang w:val="es-ES"/>
        </w:rPr>
        <w:t>También se establece un c</w:t>
      </w:r>
      <w:r w:rsidR="00857E17" w:rsidRPr="00842DAE">
        <w:rPr>
          <w:rFonts w:ascii="Arial" w:hAnsi="Arial" w:cs="Arial"/>
          <w:sz w:val="24"/>
          <w:szCs w:val="24"/>
          <w:lang w:val="es-ES"/>
        </w:rPr>
        <w:t>oncepto positivo de</w:t>
      </w:r>
      <w:r w:rsidR="007B1BFE" w:rsidRPr="00842DAE">
        <w:rPr>
          <w:rFonts w:ascii="Arial" w:hAnsi="Arial" w:cs="Arial"/>
          <w:sz w:val="24"/>
          <w:szCs w:val="24"/>
          <w:lang w:val="es-ES"/>
        </w:rPr>
        <w:t xml:space="preserve"> la</w:t>
      </w:r>
      <w:r w:rsidR="00857E17" w:rsidRPr="00842DAE">
        <w:rPr>
          <w:rFonts w:ascii="Arial" w:hAnsi="Arial" w:cs="Arial"/>
          <w:sz w:val="24"/>
          <w:szCs w:val="24"/>
          <w:lang w:val="es-ES"/>
        </w:rPr>
        <w:t xml:space="preserve"> salud como  </w:t>
      </w:r>
      <w:r w:rsidR="007B1BFE" w:rsidRPr="00842DAE">
        <w:rPr>
          <w:rFonts w:ascii="Arial" w:hAnsi="Arial" w:cs="Arial"/>
          <w:sz w:val="24"/>
          <w:szCs w:val="24"/>
          <w:lang w:val="es-ES"/>
        </w:rPr>
        <w:t xml:space="preserve">el </w:t>
      </w:r>
      <w:r w:rsidR="00857E17" w:rsidRPr="00842DAE">
        <w:rPr>
          <w:rFonts w:ascii="Arial" w:hAnsi="Arial" w:cs="Arial"/>
          <w:sz w:val="24"/>
          <w:szCs w:val="24"/>
          <w:lang w:val="es-ES"/>
        </w:rPr>
        <w:t>desarrollo de potencialidades y capacidades humanas, para realizar proyectos de vida en las mejores condiciones.</w:t>
      </w:r>
      <w:r w:rsidR="007B1BFE" w:rsidRPr="00842DAE">
        <w:rPr>
          <w:rFonts w:ascii="Arial" w:hAnsi="Arial" w:cs="Arial"/>
          <w:sz w:val="24"/>
          <w:szCs w:val="24"/>
          <w:lang w:val="es-ES"/>
        </w:rPr>
        <w:t xml:space="preserve"> Finalmente, l</w:t>
      </w:r>
      <w:r w:rsidR="00857E17" w:rsidRPr="00842DAE">
        <w:rPr>
          <w:rFonts w:ascii="Arial" w:hAnsi="Arial" w:cs="Arial"/>
          <w:bCs/>
          <w:sz w:val="24"/>
          <w:szCs w:val="24"/>
        </w:rPr>
        <w:t xml:space="preserve">a calidad de vida se entiende en función de aquellas </w:t>
      </w:r>
      <w:r w:rsidR="00857E17" w:rsidRPr="00842DAE">
        <w:rPr>
          <w:rFonts w:ascii="Arial" w:hAnsi="Arial" w:cs="Arial"/>
          <w:bCs/>
          <w:i/>
          <w:iCs/>
          <w:sz w:val="24"/>
          <w:szCs w:val="24"/>
        </w:rPr>
        <w:t>capacidade</w:t>
      </w:r>
      <w:r w:rsidR="00857E17" w:rsidRPr="00842DAE">
        <w:rPr>
          <w:rFonts w:ascii="Arial" w:hAnsi="Arial" w:cs="Arial"/>
          <w:bCs/>
          <w:sz w:val="24"/>
          <w:szCs w:val="24"/>
        </w:rPr>
        <w:t>s que representan logros valiosos para las personas, las cuales constituyen las oportunidades reales que les permiten ser más y conducir sus vidas dentro de un ámbito de libertad y expresan las potencialidades para obtener logros, por las propias decisiones y la acción de otros, y conservando un espacio para la convivencia de distintas concepciones morales (</w:t>
      </w:r>
      <w:proofErr w:type="spellStart"/>
      <w:r w:rsidR="00857E17" w:rsidRPr="00842DAE">
        <w:rPr>
          <w:rFonts w:ascii="Arial" w:hAnsi="Arial" w:cs="Arial"/>
          <w:bCs/>
          <w:sz w:val="24"/>
          <w:szCs w:val="24"/>
        </w:rPr>
        <w:t>Sen</w:t>
      </w:r>
      <w:proofErr w:type="spellEnd"/>
      <w:r w:rsidR="00857E17" w:rsidRPr="00842DAE">
        <w:rPr>
          <w:rFonts w:ascii="Arial" w:hAnsi="Arial" w:cs="Arial"/>
          <w:bCs/>
          <w:sz w:val="24"/>
          <w:szCs w:val="24"/>
        </w:rPr>
        <w:t xml:space="preserve"> y </w:t>
      </w:r>
      <w:proofErr w:type="spellStart"/>
      <w:r w:rsidR="00857E17" w:rsidRPr="00842DAE">
        <w:rPr>
          <w:rFonts w:ascii="Arial" w:hAnsi="Arial" w:cs="Arial"/>
          <w:bCs/>
          <w:sz w:val="24"/>
          <w:szCs w:val="24"/>
        </w:rPr>
        <w:t>Nussbaum</w:t>
      </w:r>
      <w:proofErr w:type="spellEnd"/>
      <w:r w:rsidR="00857E17" w:rsidRPr="00842DAE">
        <w:rPr>
          <w:rFonts w:ascii="Arial" w:hAnsi="Arial" w:cs="Arial"/>
          <w:bCs/>
          <w:sz w:val="24"/>
          <w:szCs w:val="24"/>
        </w:rPr>
        <w:t>, 1996).</w:t>
      </w:r>
    </w:p>
    <w:p w:rsidR="00675265" w:rsidRDefault="00B763B4" w:rsidP="00D85868">
      <w:pPr>
        <w:pStyle w:val="Prrafodelista"/>
        <w:numPr>
          <w:ilvl w:val="1"/>
          <w:numId w:val="9"/>
        </w:numPr>
        <w:autoSpaceDE w:val="0"/>
        <w:autoSpaceDN w:val="0"/>
        <w:adjustRightInd w:val="0"/>
        <w:spacing w:before="120" w:after="120" w:line="240" w:lineRule="auto"/>
        <w:jc w:val="both"/>
        <w:rPr>
          <w:rFonts w:ascii="Arial" w:hAnsi="Arial" w:cs="Arial"/>
          <w:sz w:val="24"/>
          <w:szCs w:val="24"/>
          <w:lang w:val="es-AR"/>
        </w:rPr>
      </w:pPr>
      <w:r w:rsidRPr="00675265">
        <w:rPr>
          <w:rFonts w:ascii="Arial" w:hAnsi="Arial" w:cs="Arial"/>
          <w:b/>
          <w:sz w:val="24"/>
          <w:szCs w:val="24"/>
        </w:rPr>
        <w:t>Investigaciones del Observatorio</w:t>
      </w:r>
      <w:r w:rsidR="00675265" w:rsidRPr="00675265">
        <w:rPr>
          <w:rFonts w:ascii="Arial" w:hAnsi="Arial" w:cs="Arial"/>
          <w:b/>
          <w:sz w:val="24"/>
          <w:szCs w:val="24"/>
        </w:rPr>
        <w:t xml:space="preserve"> </w:t>
      </w:r>
      <w:r w:rsidR="00675265">
        <w:rPr>
          <w:rFonts w:ascii="Arial" w:hAnsi="Arial" w:cs="Arial"/>
          <w:b/>
          <w:sz w:val="24"/>
          <w:szCs w:val="24"/>
        </w:rPr>
        <w:t xml:space="preserve">Periodo </w:t>
      </w:r>
      <w:r w:rsidRPr="00675265">
        <w:rPr>
          <w:rFonts w:ascii="Arial" w:hAnsi="Arial" w:cs="Arial"/>
          <w:b/>
          <w:sz w:val="24"/>
          <w:szCs w:val="24"/>
          <w:lang w:val="es-AR"/>
        </w:rPr>
        <w:t>2006-2013</w:t>
      </w:r>
      <w:r w:rsidR="00675265" w:rsidRPr="00675265">
        <w:rPr>
          <w:rFonts w:ascii="Arial" w:hAnsi="Arial" w:cs="Arial"/>
          <w:b/>
          <w:sz w:val="24"/>
          <w:szCs w:val="24"/>
          <w:lang w:val="es-AR"/>
        </w:rPr>
        <w:t>.</w:t>
      </w:r>
    </w:p>
    <w:tbl>
      <w:tblPr>
        <w:tblStyle w:val="Tablaconcuadrcula"/>
        <w:tblW w:w="0" w:type="auto"/>
        <w:tblInd w:w="357" w:type="dxa"/>
        <w:tblLook w:val="04A0" w:firstRow="1" w:lastRow="0" w:firstColumn="1" w:lastColumn="0" w:noHBand="0" w:noVBand="1"/>
      </w:tblPr>
      <w:tblGrid>
        <w:gridCol w:w="9831"/>
      </w:tblGrid>
      <w:tr w:rsidR="00675265" w:rsidRPr="00675265" w:rsidTr="00675265">
        <w:tc>
          <w:tcPr>
            <w:tcW w:w="9831" w:type="dxa"/>
          </w:tcPr>
          <w:p w:rsidR="00675265" w:rsidRPr="00675265" w:rsidRDefault="00675265" w:rsidP="00D85868">
            <w:pPr>
              <w:numPr>
                <w:ilvl w:val="0"/>
                <w:numId w:val="2"/>
              </w:numPr>
              <w:spacing w:before="120" w:after="120"/>
              <w:ind w:left="357" w:hanging="357"/>
              <w:jc w:val="both"/>
              <w:rPr>
                <w:rFonts w:ascii="Arial" w:hAnsi="Arial" w:cs="Arial"/>
                <w:sz w:val="24"/>
                <w:szCs w:val="24"/>
              </w:rPr>
            </w:pPr>
            <w:r w:rsidRPr="00675265">
              <w:rPr>
                <w:rFonts w:ascii="Arial" w:hAnsi="Arial" w:cs="Arial"/>
                <w:sz w:val="24"/>
                <w:szCs w:val="24"/>
                <w:lang w:val="es-ES"/>
              </w:rPr>
              <w:t xml:space="preserve">Mortalidad evitable materna y de menores de 5 años, 1998-2003. </w:t>
            </w:r>
          </w:p>
        </w:tc>
      </w:tr>
      <w:tr w:rsidR="00675265" w:rsidRPr="00675265" w:rsidTr="00675265">
        <w:tc>
          <w:tcPr>
            <w:tcW w:w="9831" w:type="dxa"/>
          </w:tcPr>
          <w:p w:rsidR="00675265" w:rsidRPr="00675265" w:rsidRDefault="00675265" w:rsidP="00D85868">
            <w:pPr>
              <w:numPr>
                <w:ilvl w:val="0"/>
                <w:numId w:val="2"/>
              </w:numPr>
              <w:spacing w:before="120" w:after="120"/>
              <w:ind w:left="357" w:hanging="357"/>
              <w:jc w:val="both"/>
              <w:rPr>
                <w:rFonts w:ascii="Arial" w:hAnsi="Arial" w:cs="Arial"/>
                <w:sz w:val="24"/>
                <w:szCs w:val="24"/>
              </w:rPr>
            </w:pPr>
            <w:r w:rsidRPr="00675265">
              <w:rPr>
                <w:rFonts w:ascii="Arial" w:hAnsi="Arial" w:cs="Arial"/>
                <w:sz w:val="24"/>
                <w:szCs w:val="24"/>
                <w:lang w:val="es-ES"/>
              </w:rPr>
              <w:t xml:space="preserve">Discapacidad como huella de la inequidad social. </w:t>
            </w:r>
          </w:p>
        </w:tc>
      </w:tr>
      <w:tr w:rsidR="00675265" w:rsidRPr="00675265" w:rsidTr="00675265">
        <w:tc>
          <w:tcPr>
            <w:tcW w:w="9831" w:type="dxa"/>
          </w:tcPr>
          <w:p w:rsidR="00675265" w:rsidRPr="00675265" w:rsidRDefault="00675265" w:rsidP="00D85868">
            <w:pPr>
              <w:numPr>
                <w:ilvl w:val="0"/>
                <w:numId w:val="2"/>
              </w:numPr>
              <w:spacing w:before="120" w:after="120"/>
              <w:ind w:left="357" w:hanging="357"/>
              <w:jc w:val="both"/>
              <w:rPr>
                <w:rFonts w:ascii="Arial" w:hAnsi="Arial" w:cs="Arial"/>
                <w:sz w:val="24"/>
                <w:szCs w:val="24"/>
              </w:rPr>
            </w:pPr>
            <w:r w:rsidRPr="00675265">
              <w:rPr>
                <w:rFonts w:ascii="Arial" w:hAnsi="Arial" w:cs="Arial"/>
                <w:sz w:val="24"/>
                <w:szCs w:val="24"/>
                <w:lang w:val="es-ES"/>
              </w:rPr>
              <w:t xml:space="preserve">Condiciones de trabajo, informalidad y equidad. </w:t>
            </w:r>
          </w:p>
        </w:tc>
      </w:tr>
      <w:tr w:rsidR="00675265" w:rsidRPr="00675265" w:rsidTr="00675265">
        <w:tc>
          <w:tcPr>
            <w:tcW w:w="9831" w:type="dxa"/>
          </w:tcPr>
          <w:p w:rsidR="00675265" w:rsidRPr="00675265" w:rsidRDefault="00675265" w:rsidP="00D85868">
            <w:pPr>
              <w:numPr>
                <w:ilvl w:val="0"/>
                <w:numId w:val="2"/>
              </w:numPr>
              <w:spacing w:before="120" w:after="120"/>
              <w:ind w:left="357" w:hanging="357"/>
              <w:jc w:val="both"/>
              <w:rPr>
                <w:rFonts w:ascii="Arial" w:hAnsi="Arial" w:cs="Arial"/>
                <w:sz w:val="24"/>
                <w:szCs w:val="24"/>
              </w:rPr>
            </w:pPr>
            <w:r w:rsidRPr="00675265">
              <w:rPr>
                <w:rFonts w:ascii="Arial" w:hAnsi="Arial" w:cs="Arial"/>
                <w:sz w:val="24"/>
                <w:szCs w:val="24"/>
                <w:lang w:val="es-ES"/>
              </w:rPr>
              <w:t xml:space="preserve">Análisis de equidad en el acceso a servicios de salud en el programa de </w:t>
            </w:r>
            <w:r w:rsidRPr="00675265">
              <w:rPr>
                <w:rFonts w:ascii="Arial" w:hAnsi="Arial" w:cs="Arial"/>
                <w:i/>
                <w:iCs/>
                <w:sz w:val="24"/>
                <w:szCs w:val="24"/>
                <w:lang w:val="es-ES"/>
              </w:rPr>
              <w:t xml:space="preserve">Salud a su Hogar. </w:t>
            </w:r>
          </w:p>
        </w:tc>
      </w:tr>
      <w:tr w:rsidR="00675265" w:rsidRPr="00675265" w:rsidTr="00675265">
        <w:tc>
          <w:tcPr>
            <w:tcW w:w="9831" w:type="dxa"/>
          </w:tcPr>
          <w:p w:rsidR="00675265" w:rsidRPr="00675265" w:rsidRDefault="00675265" w:rsidP="00D85868">
            <w:pPr>
              <w:numPr>
                <w:ilvl w:val="0"/>
                <w:numId w:val="2"/>
              </w:numPr>
              <w:spacing w:before="120" w:after="120"/>
              <w:ind w:left="357" w:hanging="357"/>
              <w:jc w:val="both"/>
              <w:rPr>
                <w:rFonts w:ascii="Arial" w:hAnsi="Arial" w:cs="Arial"/>
                <w:sz w:val="24"/>
                <w:szCs w:val="24"/>
              </w:rPr>
            </w:pPr>
            <w:r w:rsidRPr="00675265">
              <w:rPr>
                <w:rFonts w:ascii="Arial" w:hAnsi="Arial" w:cs="Arial"/>
                <w:sz w:val="24"/>
                <w:szCs w:val="24"/>
                <w:lang w:val="es-ES"/>
              </w:rPr>
              <w:t xml:space="preserve">Análisis de la tendencia de la equidad en calidad de vida y salud por clase social en Bogotá (2003-2011). </w:t>
            </w:r>
          </w:p>
        </w:tc>
      </w:tr>
      <w:tr w:rsidR="00675265" w:rsidRPr="00675265" w:rsidTr="00675265">
        <w:tc>
          <w:tcPr>
            <w:tcW w:w="9831" w:type="dxa"/>
          </w:tcPr>
          <w:p w:rsidR="00675265" w:rsidRPr="00675265" w:rsidRDefault="00675265" w:rsidP="00D85868">
            <w:pPr>
              <w:numPr>
                <w:ilvl w:val="0"/>
                <w:numId w:val="2"/>
              </w:numPr>
              <w:spacing w:before="120" w:after="120"/>
              <w:ind w:left="357" w:hanging="357"/>
              <w:jc w:val="both"/>
              <w:rPr>
                <w:rFonts w:ascii="Arial" w:hAnsi="Arial" w:cs="Arial"/>
                <w:sz w:val="24"/>
                <w:szCs w:val="24"/>
              </w:rPr>
            </w:pPr>
            <w:r w:rsidRPr="00675265">
              <w:rPr>
                <w:rFonts w:ascii="Arial" w:hAnsi="Arial" w:cs="Arial"/>
                <w:sz w:val="24"/>
                <w:szCs w:val="24"/>
                <w:lang w:val="es-ES"/>
              </w:rPr>
              <w:t>Análisis de la tendencia de la equidad en mortalidad evitable materna e infantil (2003-2011).</w:t>
            </w:r>
          </w:p>
        </w:tc>
      </w:tr>
      <w:tr w:rsidR="00675265" w:rsidRPr="00675265" w:rsidTr="00675265">
        <w:tc>
          <w:tcPr>
            <w:tcW w:w="9831" w:type="dxa"/>
          </w:tcPr>
          <w:p w:rsidR="00675265" w:rsidRPr="00675265" w:rsidRDefault="00675265" w:rsidP="00D85868">
            <w:pPr>
              <w:numPr>
                <w:ilvl w:val="0"/>
                <w:numId w:val="2"/>
              </w:numPr>
              <w:spacing w:before="120" w:after="120"/>
              <w:ind w:left="357" w:hanging="357"/>
              <w:jc w:val="both"/>
              <w:rPr>
                <w:rFonts w:ascii="Arial" w:hAnsi="Arial" w:cs="Arial"/>
                <w:sz w:val="24"/>
                <w:szCs w:val="24"/>
              </w:rPr>
            </w:pPr>
            <w:r w:rsidRPr="00675265">
              <w:rPr>
                <w:rFonts w:ascii="Arial" w:hAnsi="Arial" w:cs="Arial"/>
                <w:sz w:val="24"/>
                <w:szCs w:val="24"/>
                <w:lang w:val="es-ES"/>
              </w:rPr>
              <w:t>Equidad en la disponibilidad de servicios de salud en Bogotá.</w:t>
            </w:r>
          </w:p>
        </w:tc>
      </w:tr>
      <w:tr w:rsidR="00675265" w:rsidRPr="00675265" w:rsidTr="00675265">
        <w:tc>
          <w:tcPr>
            <w:tcW w:w="9831" w:type="dxa"/>
          </w:tcPr>
          <w:p w:rsidR="00675265" w:rsidRPr="00675265" w:rsidRDefault="00675265" w:rsidP="00D85868">
            <w:pPr>
              <w:numPr>
                <w:ilvl w:val="0"/>
                <w:numId w:val="2"/>
              </w:numPr>
              <w:spacing w:before="120" w:after="120"/>
              <w:ind w:left="357" w:hanging="357"/>
              <w:jc w:val="both"/>
              <w:rPr>
                <w:rFonts w:ascii="Arial" w:hAnsi="Arial" w:cs="Arial"/>
                <w:sz w:val="24"/>
                <w:szCs w:val="24"/>
              </w:rPr>
            </w:pPr>
            <w:r w:rsidRPr="00675265">
              <w:rPr>
                <w:rFonts w:ascii="Arial" w:hAnsi="Arial" w:cs="Arial"/>
                <w:sz w:val="24"/>
                <w:szCs w:val="24"/>
                <w:lang w:val="es-ES"/>
              </w:rPr>
              <w:t>Equidad en el acceso a servicios de salud en la población incluida en el programa de gratuidad (2007-2011).</w:t>
            </w:r>
          </w:p>
        </w:tc>
      </w:tr>
    </w:tbl>
    <w:p w:rsidR="00675265" w:rsidRDefault="00675265" w:rsidP="00B2569C">
      <w:pPr>
        <w:spacing w:before="120" w:after="120" w:line="240" w:lineRule="auto"/>
        <w:jc w:val="both"/>
        <w:rPr>
          <w:rFonts w:ascii="Arial" w:hAnsi="Arial" w:cs="Arial"/>
          <w:sz w:val="24"/>
          <w:szCs w:val="24"/>
        </w:rPr>
      </w:pPr>
    </w:p>
    <w:p w:rsidR="00B763B4" w:rsidRPr="00842DAE" w:rsidRDefault="00B763B4" w:rsidP="00D85868">
      <w:pPr>
        <w:pStyle w:val="Prrafodelista"/>
        <w:numPr>
          <w:ilvl w:val="1"/>
          <w:numId w:val="9"/>
        </w:numPr>
        <w:spacing w:before="120" w:after="120" w:line="240" w:lineRule="auto"/>
        <w:jc w:val="both"/>
        <w:rPr>
          <w:rFonts w:ascii="Arial" w:hAnsi="Arial" w:cs="Arial"/>
          <w:b/>
          <w:sz w:val="24"/>
          <w:szCs w:val="24"/>
        </w:rPr>
      </w:pPr>
      <w:r w:rsidRPr="00842DAE">
        <w:rPr>
          <w:rFonts w:ascii="Arial" w:hAnsi="Arial" w:cs="Arial"/>
          <w:b/>
          <w:sz w:val="24"/>
          <w:szCs w:val="24"/>
        </w:rPr>
        <w:t>Sistema de indicadores del Observatorio</w:t>
      </w:r>
    </w:p>
    <w:p w:rsidR="00B763B4" w:rsidRPr="00B2569C" w:rsidRDefault="00B763B4" w:rsidP="00B2569C">
      <w:pPr>
        <w:spacing w:before="120" w:after="120" w:line="240" w:lineRule="auto"/>
        <w:jc w:val="both"/>
        <w:rPr>
          <w:rFonts w:ascii="Arial" w:hAnsi="Arial" w:cs="Arial"/>
          <w:sz w:val="24"/>
          <w:szCs w:val="24"/>
        </w:rPr>
      </w:pPr>
      <w:r w:rsidRPr="00B2569C">
        <w:rPr>
          <w:rFonts w:ascii="Arial" w:hAnsi="Arial" w:cs="Arial"/>
          <w:bCs/>
          <w:sz w:val="24"/>
          <w:szCs w:val="24"/>
        </w:rPr>
        <w:t>El sistema de indicadores del Observatorio pretende dar cuenta de las desigualdades en calidad de vida y salud entre los grupos  de población derivadas de la posición socioeconómica, el género, la etnia, los ciclos de vida, las capacidades, expresadas en los siguientes ámbitos: e</w:t>
      </w:r>
      <w:r w:rsidRPr="00B2569C">
        <w:rPr>
          <w:rFonts w:ascii="Arial" w:hAnsi="Arial" w:cs="Arial"/>
          <w:sz w:val="24"/>
          <w:szCs w:val="24"/>
        </w:rPr>
        <w:t>xposición y vulnerabilidad diferencial al riesgo; oportunidad para el desarrollo humano; acceso desigual a las respuestas institucionales; resultados desiguales en calidad de vida, ambiente y salud; impactos desiguales en la posición social.</w:t>
      </w:r>
    </w:p>
    <w:p w:rsidR="00857E17" w:rsidRPr="00B2569C" w:rsidRDefault="003664EA" w:rsidP="00B2569C">
      <w:pPr>
        <w:spacing w:before="120" w:after="120" w:line="240" w:lineRule="auto"/>
        <w:jc w:val="both"/>
        <w:rPr>
          <w:rFonts w:ascii="Arial" w:hAnsi="Arial" w:cs="Arial"/>
          <w:sz w:val="24"/>
          <w:szCs w:val="24"/>
        </w:rPr>
      </w:pPr>
      <w:r w:rsidRPr="00B2569C">
        <w:rPr>
          <w:rFonts w:ascii="Arial" w:hAnsi="Arial" w:cs="Arial"/>
          <w:sz w:val="24"/>
          <w:szCs w:val="24"/>
        </w:rPr>
        <w:t>Los i</w:t>
      </w:r>
      <w:r w:rsidR="00D92F1D" w:rsidRPr="00B2569C">
        <w:rPr>
          <w:rFonts w:ascii="Arial" w:hAnsi="Arial" w:cs="Arial"/>
          <w:sz w:val="24"/>
          <w:szCs w:val="24"/>
        </w:rPr>
        <w:t>ndicadores desarrollados por el Observatorio</w:t>
      </w:r>
      <w:r w:rsidRPr="00B2569C">
        <w:rPr>
          <w:rFonts w:ascii="Arial" w:hAnsi="Arial" w:cs="Arial"/>
          <w:sz w:val="24"/>
          <w:szCs w:val="24"/>
        </w:rPr>
        <w:t xml:space="preserve"> son</w:t>
      </w:r>
      <w:r w:rsidR="00D92F1D" w:rsidRPr="00B2569C">
        <w:rPr>
          <w:rFonts w:ascii="Arial" w:hAnsi="Arial" w:cs="Arial"/>
          <w:sz w:val="24"/>
          <w:szCs w:val="24"/>
        </w:rPr>
        <w:t>:</w:t>
      </w:r>
      <w:r w:rsidR="00842DAE">
        <w:rPr>
          <w:rFonts w:ascii="Arial" w:hAnsi="Arial" w:cs="Arial"/>
          <w:sz w:val="24"/>
          <w:szCs w:val="24"/>
        </w:rPr>
        <w:t xml:space="preserve"> </w:t>
      </w:r>
    </w:p>
    <w:p w:rsidR="00A12238" w:rsidRPr="00B2569C" w:rsidRDefault="003664EA" w:rsidP="00D85868">
      <w:pPr>
        <w:pStyle w:val="Prrafodelista"/>
        <w:numPr>
          <w:ilvl w:val="0"/>
          <w:numId w:val="10"/>
        </w:numPr>
        <w:spacing w:before="120" w:after="120" w:line="240" w:lineRule="auto"/>
        <w:jc w:val="both"/>
        <w:rPr>
          <w:rFonts w:ascii="Arial" w:hAnsi="Arial" w:cs="Arial"/>
          <w:sz w:val="24"/>
          <w:szCs w:val="24"/>
        </w:rPr>
      </w:pPr>
      <w:r w:rsidRPr="00B2569C">
        <w:rPr>
          <w:rFonts w:ascii="Arial" w:hAnsi="Arial" w:cs="Arial"/>
          <w:sz w:val="24"/>
          <w:szCs w:val="24"/>
          <w:lang w:val="es-ES"/>
        </w:rPr>
        <w:t>Indicador</w:t>
      </w:r>
      <w:r w:rsidR="000B1450" w:rsidRPr="00B2569C">
        <w:rPr>
          <w:rFonts w:ascii="Arial" w:hAnsi="Arial" w:cs="Arial"/>
          <w:sz w:val="24"/>
          <w:szCs w:val="24"/>
          <w:lang w:val="es-ES"/>
        </w:rPr>
        <w:t xml:space="preserve"> compuesto de calidad de vida urbana y análisis por clase social.</w:t>
      </w:r>
    </w:p>
    <w:p w:rsidR="00A12238" w:rsidRPr="00B2569C" w:rsidRDefault="003664EA" w:rsidP="00D85868">
      <w:pPr>
        <w:pStyle w:val="Prrafodelista"/>
        <w:numPr>
          <w:ilvl w:val="0"/>
          <w:numId w:val="10"/>
        </w:numPr>
        <w:spacing w:before="120" w:after="120" w:line="240" w:lineRule="auto"/>
        <w:jc w:val="both"/>
        <w:rPr>
          <w:rFonts w:ascii="Arial" w:hAnsi="Arial" w:cs="Arial"/>
          <w:sz w:val="24"/>
          <w:szCs w:val="24"/>
        </w:rPr>
      </w:pPr>
      <w:r w:rsidRPr="00B2569C">
        <w:rPr>
          <w:rFonts w:ascii="Arial" w:hAnsi="Arial" w:cs="Arial"/>
          <w:sz w:val="24"/>
          <w:szCs w:val="24"/>
          <w:lang w:val="es-ES"/>
        </w:rPr>
        <w:t>I</w:t>
      </w:r>
      <w:r w:rsidR="000B1450" w:rsidRPr="00B2569C">
        <w:rPr>
          <w:rFonts w:ascii="Arial" w:hAnsi="Arial" w:cs="Arial"/>
          <w:sz w:val="24"/>
          <w:szCs w:val="24"/>
          <w:lang w:val="es-ES"/>
        </w:rPr>
        <w:t>ndicador</w:t>
      </w:r>
      <w:r w:rsidRPr="00B2569C">
        <w:rPr>
          <w:rFonts w:ascii="Arial" w:hAnsi="Arial" w:cs="Arial"/>
          <w:sz w:val="24"/>
          <w:szCs w:val="24"/>
          <w:lang w:val="es-ES"/>
        </w:rPr>
        <w:t xml:space="preserve"> </w:t>
      </w:r>
      <w:r w:rsidR="000B1450" w:rsidRPr="00B2569C">
        <w:rPr>
          <w:rFonts w:ascii="Arial" w:hAnsi="Arial" w:cs="Arial"/>
          <w:sz w:val="24"/>
          <w:szCs w:val="24"/>
          <w:lang w:val="es-ES"/>
        </w:rPr>
        <w:t>compuesto de riesgo y protección y análisis por estrato.</w:t>
      </w:r>
    </w:p>
    <w:p w:rsidR="00A12238" w:rsidRPr="00B2569C" w:rsidRDefault="003664EA" w:rsidP="00D85868">
      <w:pPr>
        <w:pStyle w:val="Prrafodelista"/>
        <w:numPr>
          <w:ilvl w:val="0"/>
          <w:numId w:val="10"/>
        </w:numPr>
        <w:spacing w:before="120" w:after="120" w:line="240" w:lineRule="auto"/>
        <w:jc w:val="both"/>
        <w:rPr>
          <w:rFonts w:ascii="Arial" w:hAnsi="Arial" w:cs="Arial"/>
          <w:sz w:val="24"/>
          <w:szCs w:val="24"/>
        </w:rPr>
      </w:pPr>
      <w:r w:rsidRPr="00B2569C">
        <w:rPr>
          <w:rFonts w:ascii="Arial" w:hAnsi="Arial" w:cs="Arial"/>
          <w:sz w:val="24"/>
          <w:szCs w:val="24"/>
          <w:lang w:val="es-ES"/>
        </w:rPr>
        <w:t xml:space="preserve">Indicador de </w:t>
      </w:r>
      <w:r w:rsidR="000B1450" w:rsidRPr="00B2569C">
        <w:rPr>
          <w:rFonts w:ascii="Arial" w:hAnsi="Arial" w:cs="Arial"/>
          <w:sz w:val="24"/>
          <w:szCs w:val="24"/>
          <w:lang w:val="es-ES"/>
        </w:rPr>
        <w:t>desigualdad en el acceso a servicios de salud y protección por estrato.</w:t>
      </w:r>
    </w:p>
    <w:p w:rsidR="009435F0" w:rsidRPr="00B2569C" w:rsidRDefault="00D92F1D" w:rsidP="00B2569C">
      <w:pPr>
        <w:spacing w:before="120" w:after="120" w:line="240" w:lineRule="auto"/>
        <w:jc w:val="both"/>
        <w:rPr>
          <w:rFonts w:ascii="Arial" w:hAnsi="Arial" w:cs="Arial"/>
          <w:sz w:val="24"/>
          <w:szCs w:val="24"/>
        </w:rPr>
      </w:pPr>
      <w:r w:rsidRPr="00B2569C">
        <w:rPr>
          <w:rFonts w:ascii="Arial" w:hAnsi="Arial" w:cs="Arial"/>
          <w:bCs/>
          <w:sz w:val="24"/>
          <w:szCs w:val="24"/>
        </w:rPr>
        <w:t>El indicador de calidad de vida urbana</w:t>
      </w:r>
      <w:r w:rsidR="003664EA" w:rsidRPr="00B2569C">
        <w:rPr>
          <w:rFonts w:ascii="Arial" w:hAnsi="Arial" w:cs="Arial"/>
          <w:bCs/>
          <w:sz w:val="24"/>
          <w:szCs w:val="24"/>
        </w:rPr>
        <w:t xml:space="preserve"> involucra doce (12) diversas d</w:t>
      </w:r>
      <w:r w:rsidR="009435F0" w:rsidRPr="00B2569C">
        <w:rPr>
          <w:rFonts w:ascii="Arial" w:hAnsi="Arial" w:cs="Arial"/>
          <w:bCs/>
          <w:sz w:val="24"/>
          <w:szCs w:val="24"/>
        </w:rPr>
        <w:t xml:space="preserve">imensiones de la calidad de vida </w:t>
      </w:r>
      <w:r w:rsidR="009435F0" w:rsidRPr="00B2569C">
        <w:rPr>
          <w:rFonts w:ascii="Arial" w:hAnsi="Arial" w:cs="Arial"/>
          <w:bCs/>
          <w:iCs/>
          <w:sz w:val="24"/>
          <w:szCs w:val="24"/>
        </w:rPr>
        <w:t>urbana</w:t>
      </w:r>
      <w:r w:rsidR="003664EA" w:rsidRPr="00B2569C">
        <w:rPr>
          <w:rFonts w:ascii="Arial" w:hAnsi="Arial" w:cs="Arial"/>
          <w:bCs/>
          <w:iCs/>
          <w:sz w:val="24"/>
          <w:szCs w:val="24"/>
        </w:rPr>
        <w:t>:</w:t>
      </w:r>
      <w:r w:rsidR="009435F0" w:rsidRPr="00B2569C">
        <w:rPr>
          <w:rFonts w:ascii="Arial" w:hAnsi="Arial" w:cs="Arial"/>
          <w:bCs/>
          <w:iCs/>
          <w:sz w:val="24"/>
          <w:szCs w:val="24"/>
        </w:rPr>
        <w:t xml:space="preserve"> </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 xml:space="preserve">Salud y alimentación </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Condiciones de la vivienda</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Calidad ambiental</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Equipamientos y dotaciones urbanas</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Movilidad urbana</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 xml:space="preserve">Seguridad ciudadana </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Trabajo</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Educación</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Ocio y recreación</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Solidaridad y asociación</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No discriminación</w:t>
      </w:r>
    </w:p>
    <w:p w:rsidR="009435F0" w:rsidRPr="00B2569C" w:rsidRDefault="009435F0" w:rsidP="00D85868">
      <w:pPr>
        <w:pStyle w:val="Prrafodelista"/>
        <w:numPr>
          <w:ilvl w:val="0"/>
          <w:numId w:val="11"/>
        </w:numPr>
        <w:spacing w:before="120" w:after="120" w:line="240" w:lineRule="auto"/>
        <w:jc w:val="both"/>
        <w:rPr>
          <w:rFonts w:ascii="Arial" w:hAnsi="Arial" w:cs="Arial"/>
          <w:sz w:val="24"/>
          <w:szCs w:val="24"/>
        </w:rPr>
      </w:pPr>
      <w:r w:rsidRPr="00B2569C">
        <w:rPr>
          <w:rFonts w:ascii="Arial" w:hAnsi="Arial" w:cs="Arial"/>
          <w:bCs/>
          <w:sz w:val="24"/>
          <w:szCs w:val="24"/>
        </w:rPr>
        <w:t>Capacidad de pago</w:t>
      </w:r>
    </w:p>
    <w:p w:rsidR="00842DAE" w:rsidRDefault="00842DAE" w:rsidP="00842DAE">
      <w:pPr>
        <w:spacing w:before="120" w:after="120" w:line="240" w:lineRule="auto"/>
        <w:jc w:val="both"/>
        <w:rPr>
          <w:rFonts w:ascii="Arial" w:hAnsi="Arial" w:cs="Arial"/>
          <w:sz w:val="24"/>
          <w:szCs w:val="24"/>
        </w:rPr>
      </w:pPr>
    </w:p>
    <w:p w:rsidR="00842DAE" w:rsidRPr="00B2569C" w:rsidRDefault="00842DAE" w:rsidP="00842DAE">
      <w:pPr>
        <w:spacing w:before="120" w:after="120" w:line="240" w:lineRule="auto"/>
        <w:jc w:val="both"/>
        <w:rPr>
          <w:rFonts w:ascii="Arial" w:hAnsi="Arial" w:cs="Arial"/>
          <w:sz w:val="24"/>
          <w:szCs w:val="24"/>
        </w:rPr>
      </w:pPr>
      <w:r w:rsidRPr="00B2569C">
        <w:rPr>
          <w:rFonts w:ascii="Arial" w:hAnsi="Arial" w:cs="Arial"/>
          <w:sz w:val="24"/>
          <w:szCs w:val="24"/>
        </w:rPr>
        <w:t>Las principales fuentes de información utilizadas por el Observatorio han sido:</w:t>
      </w:r>
    </w:p>
    <w:p w:rsidR="00842DAE" w:rsidRPr="00B2569C" w:rsidRDefault="00842DAE" w:rsidP="00D85868">
      <w:pPr>
        <w:numPr>
          <w:ilvl w:val="0"/>
          <w:numId w:val="1"/>
        </w:numPr>
        <w:spacing w:before="120" w:after="120" w:line="240" w:lineRule="auto"/>
        <w:ind w:left="357" w:hanging="357"/>
        <w:jc w:val="both"/>
        <w:rPr>
          <w:rFonts w:ascii="Arial" w:hAnsi="Arial" w:cs="Arial"/>
          <w:sz w:val="24"/>
          <w:szCs w:val="24"/>
        </w:rPr>
      </w:pPr>
      <w:r w:rsidRPr="00B2569C">
        <w:rPr>
          <w:rFonts w:ascii="Arial" w:hAnsi="Arial" w:cs="Arial"/>
          <w:sz w:val="24"/>
          <w:szCs w:val="24"/>
          <w:lang w:val="es-ES"/>
        </w:rPr>
        <w:t xml:space="preserve">Encuesta Calidad de Vida </w:t>
      </w:r>
      <w:r w:rsidRPr="00B2569C">
        <w:rPr>
          <w:rFonts w:ascii="Arial" w:hAnsi="Arial" w:cs="Arial"/>
          <w:sz w:val="24"/>
          <w:szCs w:val="24"/>
          <w:lang w:val="es-ES_tradnl"/>
        </w:rPr>
        <w:t>2003, 2007, 2008, 2010.</w:t>
      </w:r>
      <w:r w:rsidRPr="00B2569C">
        <w:rPr>
          <w:rFonts w:ascii="Arial" w:hAnsi="Arial" w:cs="Arial"/>
          <w:sz w:val="24"/>
          <w:szCs w:val="24"/>
        </w:rPr>
        <w:t xml:space="preserve"> </w:t>
      </w:r>
    </w:p>
    <w:p w:rsidR="00842DAE" w:rsidRPr="00B2569C" w:rsidRDefault="00842DAE" w:rsidP="00D85868">
      <w:pPr>
        <w:numPr>
          <w:ilvl w:val="0"/>
          <w:numId w:val="1"/>
        </w:numPr>
        <w:spacing w:before="120" w:after="120" w:line="240" w:lineRule="auto"/>
        <w:ind w:left="357" w:hanging="357"/>
        <w:jc w:val="both"/>
        <w:rPr>
          <w:rFonts w:ascii="Arial" w:hAnsi="Arial" w:cs="Arial"/>
          <w:sz w:val="24"/>
          <w:szCs w:val="24"/>
        </w:rPr>
      </w:pPr>
      <w:r w:rsidRPr="00B2569C">
        <w:rPr>
          <w:rFonts w:ascii="Arial" w:hAnsi="Arial" w:cs="Arial"/>
          <w:sz w:val="24"/>
          <w:szCs w:val="24"/>
          <w:lang w:val="es-ES_tradnl"/>
        </w:rPr>
        <w:t>Encuesta Multipropósito Bogotá 2011.</w:t>
      </w:r>
      <w:r w:rsidRPr="00B2569C">
        <w:rPr>
          <w:rFonts w:ascii="Arial" w:hAnsi="Arial" w:cs="Arial"/>
          <w:sz w:val="24"/>
          <w:szCs w:val="24"/>
        </w:rPr>
        <w:t xml:space="preserve"> </w:t>
      </w:r>
    </w:p>
    <w:p w:rsidR="00842DAE" w:rsidRPr="00B2569C" w:rsidRDefault="00842DAE" w:rsidP="00D85868">
      <w:pPr>
        <w:numPr>
          <w:ilvl w:val="0"/>
          <w:numId w:val="1"/>
        </w:numPr>
        <w:spacing w:before="120" w:after="120" w:line="240" w:lineRule="auto"/>
        <w:ind w:left="357" w:hanging="357"/>
        <w:jc w:val="both"/>
        <w:rPr>
          <w:rFonts w:ascii="Arial" w:hAnsi="Arial" w:cs="Arial"/>
          <w:sz w:val="24"/>
          <w:szCs w:val="24"/>
        </w:rPr>
      </w:pPr>
      <w:r w:rsidRPr="00B2569C">
        <w:rPr>
          <w:rFonts w:ascii="Arial" w:hAnsi="Arial" w:cs="Arial"/>
          <w:sz w:val="24"/>
          <w:szCs w:val="24"/>
          <w:lang w:val="es-ES"/>
        </w:rPr>
        <w:t>Base de Datos del Registro Especial de Prestadores (base de habilitación), en 2004 y 2010.</w:t>
      </w:r>
      <w:r w:rsidRPr="00B2569C">
        <w:rPr>
          <w:rFonts w:ascii="Arial" w:hAnsi="Arial" w:cs="Arial"/>
          <w:sz w:val="24"/>
          <w:szCs w:val="24"/>
        </w:rPr>
        <w:t xml:space="preserve"> </w:t>
      </w:r>
    </w:p>
    <w:p w:rsidR="00842DAE" w:rsidRPr="00B2569C" w:rsidRDefault="00842DAE" w:rsidP="00D85868">
      <w:pPr>
        <w:numPr>
          <w:ilvl w:val="0"/>
          <w:numId w:val="1"/>
        </w:numPr>
        <w:spacing w:before="120" w:after="120" w:line="240" w:lineRule="auto"/>
        <w:ind w:left="357" w:hanging="357"/>
        <w:jc w:val="both"/>
        <w:rPr>
          <w:rFonts w:ascii="Arial" w:hAnsi="Arial" w:cs="Arial"/>
          <w:sz w:val="24"/>
          <w:szCs w:val="24"/>
        </w:rPr>
      </w:pPr>
      <w:r w:rsidRPr="00B2569C">
        <w:rPr>
          <w:rFonts w:ascii="Arial" w:hAnsi="Arial" w:cs="Arial"/>
          <w:sz w:val="24"/>
          <w:szCs w:val="24"/>
          <w:lang w:val="es-ES"/>
        </w:rPr>
        <w:t>Base de datos Registro Individuales de Prestación de Servicios de Salud RIPS 2008, 2010.</w:t>
      </w:r>
      <w:r w:rsidRPr="00B2569C">
        <w:rPr>
          <w:rFonts w:ascii="Arial" w:hAnsi="Arial" w:cs="Arial"/>
          <w:sz w:val="24"/>
          <w:szCs w:val="24"/>
        </w:rPr>
        <w:t xml:space="preserve"> </w:t>
      </w:r>
    </w:p>
    <w:p w:rsidR="009435F0" w:rsidRPr="00B2569C" w:rsidRDefault="009435F0" w:rsidP="00B2569C">
      <w:pPr>
        <w:spacing w:before="120" w:after="120" w:line="240" w:lineRule="auto"/>
        <w:jc w:val="both"/>
        <w:rPr>
          <w:rFonts w:ascii="Arial" w:hAnsi="Arial" w:cs="Arial"/>
          <w:sz w:val="24"/>
          <w:szCs w:val="24"/>
        </w:rPr>
      </w:pPr>
    </w:p>
    <w:p w:rsidR="00A379E1" w:rsidRPr="00842DAE" w:rsidRDefault="009435F0" w:rsidP="00D85868">
      <w:pPr>
        <w:pStyle w:val="Prrafodelista"/>
        <w:numPr>
          <w:ilvl w:val="1"/>
          <w:numId w:val="9"/>
        </w:numPr>
        <w:spacing w:before="120" w:after="120" w:line="240" w:lineRule="auto"/>
        <w:jc w:val="both"/>
        <w:rPr>
          <w:rFonts w:ascii="Arial" w:hAnsi="Arial" w:cs="Arial"/>
          <w:b/>
          <w:sz w:val="24"/>
          <w:szCs w:val="24"/>
        </w:rPr>
      </w:pPr>
      <w:r w:rsidRPr="00842DAE">
        <w:rPr>
          <w:rFonts w:ascii="Arial" w:hAnsi="Arial" w:cs="Arial"/>
          <w:b/>
          <w:sz w:val="24"/>
          <w:szCs w:val="24"/>
        </w:rPr>
        <w:t xml:space="preserve">Divulgación </w:t>
      </w:r>
      <w:r w:rsidR="00A379E1" w:rsidRPr="00842DAE">
        <w:rPr>
          <w:rFonts w:ascii="Arial" w:hAnsi="Arial" w:cs="Arial"/>
          <w:b/>
          <w:sz w:val="24"/>
          <w:szCs w:val="24"/>
        </w:rPr>
        <w:t>de las investigaciones del Observatorio</w:t>
      </w:r>
    </w:p>
    <w:p w:rsidR="00A379E1" w:rsidRDefault="00A379E1" w:rsidP="00B2569C">
      <w:pPr>
        <w:spacing w:before="120" w:after="120" w:line="240" w:lineRule="auto"/>
        <w:jc w:val="both"/>
        <w:rPr>
          <w:rFonts w:ascii="Arial" w:hAnsi="Arial" w:cs="Arial"/>
          <w:sz w:val="24"/>
          <w:szCs w:val="24"/>
          <w:lang w:val="es-ES"/>
        </w:rPr>
      </w:pPr>
      <w:r w:rsidRPr="00B2569C">
        <w:rPr>
          <w:rFonts w:ascii="Arial" w:hAnsi="Arial" w:cs="Arial"/>
          <w:sz w:val="24"/>
          <w:szCs w:val="24"/>
          <w:lang w:val="es-ES"/>
        </w:rPr>
        <w:t xml:space="preserve">Las ocho </w:t>
      </w:r>
      <w:r w:rsidR="009435F0" w:rsidRPr="00B2569C">
        <w:rPr>
          <w:rFonts w:ascii="Arial" w:hAnsi="Arial" w:cs="Arial"/>
          <w:sz w:val="24"/>
          <w:szCs w:val="24"/>
          <w:lang w:val="es-ES"/>
        </w:rPr>
        <w:t xml:space="preserve">investigaciones realizadas </w:t>
      </w:r>
      <w:r w:rsidRPr="00B2569C">
        <w:rPr>
          <w:rFonts w:ascii="Arial" w:hAnsi="Arial" w:cs="Arial"/>
          <w:sz w:val="24"/>
          <w:szCs w:val="24"/>
          <w:lang w:val="es-ES"/>
        </w:rPr>
        <w:t xml:space="preserve">por el Observatorio </w:t>
      </w:r>
      <w:r w:rsidR="009435F0" w:rsidRPr="00B2569C">
        <w:rPr>
          <w:rFonts w:ascii="Arial" w:hAnsi="Arial" w:cs="Arial"/>
          <w:sz w:val="24"/>
          <w:szCs w:val="24"/>
          <w:lang w:val="es-ES"/>
        </w:rPr>
        <w:t>sobre equidad en calidad de vida y salud en el Distrito Capital</w:t>
      </w:r>
      <w:r w:rsidRPr="00B2569C">
        <w:rPr>
          <w:rFonts w:ascii="Arial" w:hAnsi="Arial" w:cs="Arial"/>
          <w:sz w:val="24"/>
          <w:szCs w:val="24"/>
          <w:lang w:val="es-ES"/>
        </w:rPr>
        <w:t xml:space="preserve">, así como </w:t>
      </w:r>
      <w:r w:rsidR="006B3DD7" w:rsidRPr="00B2569C">
        <w:rPr>
          <w:rFonts w:ascii="Arial" w:hAnsi="Arial" w:cs="Arial"/>
          <w:sz w:val="24"/>
          <w:szCs w:val="24"/>
          <w:lang w:val="es-ES"/>
        </w:rPr>
        <w:t xml:space="preserve">el </w:t>
      </w:r>
      <w:r w:rsidRPr="00B2569C">
        <w:rPr>
          <w:rFonts w:ascii="Arial" w:hAnsi="Arial" w:cs="Arial"/>
          <w:sz w:val="24"/>
          <w:szCs w:val="24"/>
          <w:lang w:val="es-ES"/>
        </w:rPr>
        <w:t>d</w:t>
      </w:r>
      <w:r w:rsidR="009435F0" w:rsidRPr="00B2569C">
        <w:rPr>
          <w:rFonts w:ascii="Arial" w:hAnsi="Arial" w:cs="Arial"/>
          <w:sz w:val="24"/>
          <w:szCs w:val="24"/>
          <w:lang w:val="es-ES"/>
        </w:rPr>
        <w:t>iseño e instrumentalización de</w:t>
      </w:r>
      <w:r w:rsidRPr="00B2569C">
        <w:rPr>
          <w:rFonts w:ascii="Arial" w:hAnsi="Arial" w:cs="Arial"/>
          <w:sz w:val="24"/>
          <w:szCs w:val="24"/>
          <w:lang w:val="es-ES"/>
        </w:rPr>
        <w:t xml:space="preserve"> los</w:t>
      </w:r>
      <w:r w:rsidR="009435F0" w:rsidRPr="00B2569C">
        <w:rPr>
          <w:rFonts w:ascii="Arial" w:hAnsi="Arial" w:cs="Arial"/>
          <w:sz w:val="24"/>
          <w:szCs w:val="24"/>
          <w:lang w:val="es-ES"/>
        </w:rPr>
        <w:t xml:space="preserve"> tres índices de calidad de vida, riesgo en salud, y protección</w:t>
      </w:r>
      <w:r w:rsidRPr="00B2569C">
        <w:rPr>
          <w:rFonts w:ascii="Arial" w:hAnsi="Arial" w:cs="Arial"/>
          <w:sz w:val="24"/>
          <w:szCs w:val="24"/>
          <w:lang w:val="es-ES"/>
        </w:rPr>
        <w:t>, han sido divulgadas a través de cuatro libros</w:t>
      </w:r>
      <w:r w:rsidR="00C34D2A" w:rsidRPr="00B2569C">
        <w:rPr>
          <w:rFonts w:ascii="Arial" w:hAnsi="Arial" w:cs="Arial"/>
          <w:sz w:val="24"/>
          <w:szCs w:val="24"/>
          <w:lang w:val="es-ES"/>
        </w:rPr>
        <w:t xml:space="preserve">, </w:t>
      </w:r>
      <w:r w:rsidRPr="00B2569C">
        <w:rPr>
          <w:rFonts w:ascii="Arial" w:hAnsi="Arial" w:cs="Arial"/>
          <w:sz w:val="24"/>
          <w:szCs w:val="24"/>
          <w:lang w:val="es-ES"/>
        </w:rPr>
        <w:t>dieciséis boletines</w:t>
      </w:r>
      <w:r w:rsidR="00C34D2A" w:rsidRPr="00B2569C">
        <w:rPr>
          <w:rFonts w:ascii="Arial" w:hAnsi="Arial" w:cs="Arial"/>
          <w:sz w:val="24"/>
          <w:szCs w:val="24"/>
          <w:lang w:val="es-ES"/>
        </w:rPr>
        <w:t xml:space="preserve"> y nueve artículos científicos (publicados en la </w:t>
      </w:r>
      <w:r w:rsidR="00C34D2A" w:rsidRPr="00B2569C">
        <w:rPr>
          <w:rFonts w:ascii="Arial" w:hAnsi="Arial" w:cs="Arial"/>
          <w:sz w:val="24"/>
          <w:szCs w:val="24"/>
        </w:rPr>
        <w:t>Revista de Investigaciones en Seguridad Social y Salud de la Secretaría Distrital de Salud de Bogotá)</w:t>
      </w:r>
      <w:r w:rsidRPr="00B2569C">
        <w:rPr>
          <w:rFonts w:ascii="Arial" w:hAnsi="Arial" w:cs="Arial"/>
          <w:sz w:val="24"/>
          <w:szCs w:val="24"/>
          <w:lang w:val="es-ES"/>
        </w:rPr>
        <w:t>.</w:t>
      </w:r>
    </w:p>
    <w:p w:rsidR="00DB4856" w:rsidRDefault="00DB4856" w:rsidP="00B2569C">
      <w:pPr>
        <w:spacing w:before="120" w:after="120" w:line="240" w:lineRule="auto"/>
        <w:jc w:val="both"/>
        <w:rPr>
          <w:rFonts w:ascii="Arial" w:hAnsi="Arial" w:cs="Arial"/>
          <w:sz w:val="24"/>
          <w:szCs w:val="24"/>
          <w:lang w:val="es-ES"/>
        </w:rPr>
      </w:pPr>
    </w:p>
    <w:p w:rsidR="00DB4856" w:rsidRDefault="00DB4856" w:rsidP="00B2569C">
      <w:pPr>
        <w:spacing w:before="120" w:after="120" w:line="240" w:lineRule="auto"/>
        <w:jc w:val="both"/>
        <w:rPr>
          <w:rFonts w:ascii="Arial" w:hAnsi="Arial" w:cs="Arial"/>
          <w:sz w:val="24"/>
          <w:szCs w:val="24"/>
          <w:lang w:val="es-ES"/>
        </w:rPr>
      </w:pPr>
    </w:p>
    <w:p w:rsidR="00C9261D" w:rsidRDefault="00C9261D" w:rsidP="00B2569C">
      <w:pPr>
        <w:spacing w:before="120" w:after="120" w:line="240" w:lineRule="auto"/>
        <w:jc w:val="both"/>
        <w:rPr>
          <w:rFonts w:ascii="Arial" w:hAnsi="Arial" w:cs="Arial"/>
          <w:sz w:val="24"/>
          <w:szCs w:val="24"/>
          <w:lang w:val="es-ES"/>
        </w:rPr>
      </w:pPr>
    </w:p>
    <w:p w:rsidR="00DB4856" w:rsidRPr="00B2569C" w:rsidRDefault="00DB4856" w:rsidP="00B2569C">
      <w:pPr>
        <w:spacing w:before="120" w:after="120" w:line="240" w:lineRule="auto"/>
        <w:jc w:val="both"/>
        <w:rPr>
          <w:rFonts w:ascii="Arial" w:hAnsi="Arial" w:cs="Arial"/>
          <w:sz w:val="24"/>
          <w:szCs w:val="24"/>
          <w:lang w:val="es-ES"/>
        </w:rPr>
      </w:pPr>
    </w:p>
    <w:p w:rsidR="009435F0" w:rsidRPr="006E3013" w:rsidRDefault="00842DAE" w:rsidP="00B2569C">
      <w:pPr>
        <w:spacing w:before="120" w:after="120" w:line="240" w:lineRule="auto"/>
        <w:jc w:val="both"/>
        <w:rPr>
          <w:rFonts w:ascii="Arial" w:hAnsi="Arial" w:cs="Arial"/>
          <w:b/>
          <w:sz w:val="24"/>
          <w:szCs w:val="24"/>
        </w:rPr>
      </w:pPr>
      <w:r>
        <w:rPr>
          <w:rFonts w:ascii="Arial" w:hAnsi="Arial" w:cs="Arial"/>
          <w:b/>
          <w:sz w:val="24"/>
          <w:szCs w:val="24"/>
        </w:rPr>
        <w:t xml:space="preserve">2.6.1. </w:t>
      </w:r>
      <w:r w:rsidR="00A379E1" w:rsidRPr="006E3013">
        <w:rPr>
          <w:rFonts w:ascii="Arial" w:hAnsi="Arial" w:cs="Arial"/>
          <w:b/>
          <w:sz w:val="24"/>
          <w:szCs w:val="24"/>
        </w:rPr>
        <w:t>L</w:t>
      </w:r>
      <w:r w:rsidR="009435F0" w:rsidRPr="006E3013">
        <w:rPr>
          <w:rFonts w:ascii="Arial" w:hAnsi="Arial" w:cs="Arial"/>
          <w:b/>
          <w:sz w:val="24"/>
          <w:szCs w:val="24"/>
        </w:rPr>
        <w:t>ibros</w:t>
      </w:r>
      <w:r w:rsidR="006E3013" w:rsidRPr="006E3013">
        <w:rPr>
          <w:rFonts w:ascii="Arial" w:hAnsi="Arial" w:cs="Arial"/>
          <w:b/>
          <w:sz w:val="24"/>
          <w:szCs w:val="24"/>
        </w:rPr>
        <w:t>:</w:t>
      </w:r>
    </w:p>
    <w:tbl>
      <w:tblPr>
        <w:tblStyle w:val="Tablaconcuadrcula"/>
        <w:tblW w:w="0" w:type="auto"/>
        <w:tblLook w:val="04A0" w:firstRow="1" w:lastRow="0" w:firstColumn="1" w:lastColumn="0" w:noHBand="0" w:noVBand="1"/>
      </w:tblPr>
      <w:tblGrid>
        <w:gridCol w:w="675"/>
        <w:gridCol w:w="9437"/>
      </w:tblGrid>
      <w:tr w:rsidR="006E3013" w:rsidTr="006E3013">
        <w:tc>
          <w:tcPr>
            <w:tcW w:w="675" w:type="dxa"/>
          </w:tcPr>
          <w:p w:rsidR="006E3013" w:rsidRDefault="006E3013" w:rsidP="00B2569C">
            <w:pPr>
              <w:spacing w:before="120" w:after="120"/>
              <w:jc w:val="both"/>
              <w:rPr>
                <w:rFonts w:ascii="Arial" w:hAnsi="Arial" w:cs="Arial"/>
                <w:sz w:val="24"/>
                <w:szCs w:val="24"/>
              </w:rPr>
            </w:pPr>
            <w:r>
              <w:rPr>
                <w:rFonts w:ascii="Arial" w:hAnsi="Arial" w:cs="Arial"/>
                <w:sz w:val="24"/>
                <w:szCs w:val="24"/>
              </w:rPr>
              <w:t>1.</w:t>
            </w:r>
          </w:p>
        </w:tc>
        <w:tc>
          <w:tcPr>
            <w:tcW w:w="9437" w:type="dxa"/>
          </w:tcPr>
          <w:p w:rsidR="006E3013" w:rsidRPr="006E3013" w:rsidRDefault="006E3013" w:rsidP="006E3013">
            <w:pPr>
              <w:jc w:val="both"/>
              <w:rPr>
                <w:rFonts w:ascii="Arial" w:hAnsi="Arial" w:cs="Arial"/>
                <w:sz w:val="24"/>
                <w:szCs w:val="24"/>
              </w:rPr>
            </w:pPr>
            <w:r w:rsidRPr="006E3013">
              <w:rPr>
                <w:rFonts w:ascii="Arial" w:hAnsi="Arial" w:cs="Arial"/>
                <w:bCs/>
                <w:sz w:val="24"/>
                <w:szCs w:val="24"/>
                <w:lang w:val="es-ES"/>
              </w:rPr>
              <w:t>Equidad y Salud: Debates para la acción (2007)</w:t>
            </w:r>
            <w:r>
              <w:rPr>
                <w:rFonts w:ascii="Arial" w:hAnsi="Arial" w:cs="Arial"/>
                <w:bCs/>
                <w:sz w:val="24"/>
                <w:szCs w:val="24"/>
                <w:lang w:val="es-ES"/>
              </w:rPr>
              <w:t>.</w:t>
            </w:r>
          </w:p>
        </w:tc>
      </w:tr>
      <w:tr w:rsidR="006E3013" w:rsidTr="006E3013">
        <w:tc>
          <w:tcPr>
            <w:tcW w:w="675" w:type="dxa"/>
          </w:tcPr>
          <w:p w:rsidR="006E3013" w:rsidRDefault="006E3013" w:rsidP="00B2569C">
            <w:pPr>
              <w:spacing w:before="120" w:after="120"/>
              <w:jc w:val="both"/>
              <w:rPr>
                <w:rFonts w:ascii="Arial" w:hAnsi="Arial" w:cs="Arial"/>
                <w:sz w:val="24"/>
                <w:szCs w:val="24"/>
              </w:rPr>
            </w:pPr>
            <w:r>
              <w:rPr>
                <w:rFonts w:ascii="Arial" w:hAnsi="Arial" w:cs="Arial"/>
                <w:sz w:val="24"/>
                <w:szCs w:val="24"/>
              </w:rPr>
              <w:t>2.</w:t>
            </w:r>
          </w:p>
        </w:tc>
        <w:tc>
          <w:tcPr>
            <w:tcW w:w="9437" w:type="dxa"/>
          </w:tcPr>
          <w:p w:rsidR="006E3013" w:rsidRPr="006E3013" w:rsidRDefault="006E3013" w:rsidP="006E3013">
            <w:pPr>
              <w:jc w:val="both"/>
              <w:rPr>
                <w:rFonts w:ascii="Arial" w:hAnsi="Arial" w:cs="Arial"/>
                <w:sz w:val="24"/>
                <w:szCs w:val="24"/>
              </w:rPr>
            </w:pPr>
            <w:r w:rsidRPr="006E3013">
              <w:rPr>
                <w:rFonts w:ascii="Arial" w:hAnsi="Arial" w:cs="Arial"/>
                <w:bCs/>
                <w:sz w:val="24"/>
                <w:szCs w:val="24"/>
                <w:lang w:val="es-ES"/>
              </w:rPr>
              <w:t>Inequidad Social en Salud: El caso de Bogotá (2010)</w:t>
            </w:r>
            <w:r>
              <w:rPr>
                <w:rFonts w:ascii="Arial" w:hAnsi="Arial" w:cs="Arial"/>
                <w:bCs/>
                <w:sz w:val="24"/>
                <w:szCs w:val="24"/>
                <w:lang w:val="es-ES"/>
              </w:rPr>
              <w:t>.</w:t>
            </w:r>
          </w:p>
        </w:tc>
      </w:tr>
      <w:tr w:rsidR="006E3013" w:rsidTr="006E3013">
        <w:tc>
          <w:tcPr>
            <w:tcW w:w="675" w:type="dxa"/>
          </w:tcPr>
          <w:p w:rsidR="006E3013" w:rsidRDefault="006E3013" w:rsidP="00B2569C">
            <w:pPr>
              <w:spacing w:before="120" w:after="120"/>
              <w:jc w:val="both"/>
              <w:rPr>
                <w:rFonts w:ascii="Arial" w:hAnsi="Arial" w:cs="Arial"/>
                <w:sz w:val="24"/>
                <w:szCs w:val="24"/>
              </w:rPr>
            </w:pPr>
            <w:r>
              <w:rPr>
                <w:rFonts w:ascii="Arial" w:hAnsi="Arial" w:cs="Arial"/>
                <w:sz w:val="24"/>
                <w:szCs w:val="24"/>
              </w:rPr>
              <w:t>3.</w:t>
            </w:r>
          </w:p>
        </w:tc>
        <w:tc>
          <w:tcPr>
            <w:tcW w:w="9437" w:type="dxa"/>
          </w:tcPr>
          <w:p w:rsidR="006E3013" w:rsidRPr="006E3013" w:rsidRDefault="006E3013" w:rsidP="006E3013">
            <w:pPr>
              <w:jc w:val="both"/>
              <w:rPr>
                <w:rFonts w:ascii="Arial" w:hAnsi="Arial" w:cs="Arial"/>
                <w:sz w:val="24"/>
                <w:szCs w:val="24"/>
              </w:rPr>
            </w:pPr>
            <w:r w:rsidRPr="006E3013">
              <w:rPr>
                <w:rFonts w:ascii="Arial" w:hAnsi="Arial" w:cs="Arial"/>
                <w:bCs/>
                <w:sz w:val="24"/>
                <w:szCs w:val="24"/>
                <w:lang w:val="es-ES"/>
              </w:rPr>
              <w:t>Equidad en calidad de vida y salud: avances y reflexiones (2012).</w:t>
            </w:r>
          </w:p>
        </w:tc>
      </w:tr>
      <w:tr w:rsidR="006E3013" w:rsidTr="006E3013">
        <w:tc>
          <w:tcPr>
            <w:tcW w:w="675" w:type="dxa"/>
          </w:tcPr>
          <w:p w:rsidR="006E3013" w:rsidRDefault="006E3013" w:rsidP="00B2569C">
            <w:pPr>
              <w:spacing w:before="120" w:after="120"/>
              <w:jc w:val="both"/>
              <w:rPr>
                <w:rFonts w:ascii="Arial" w:hAnsi="Arial" w:cs="Arial"/>
                <w:sz w:val="24"/>
                <w:szCs w:val="24"/>
              </w:rPr>
            </w:pPr>
            <w:r>
              <w:rPr>
                <w:rFonts w:ascii="Arial" w:hAnsi="Arial" w:cs="Arial"/>
                <w:sz w:val="24"/>
                <w:szCs w:val="24"/>
              </w:rPr>
              <w:t>4.</w:t>
            </w:r>
          </w:p>
        </w:tc>
        <w:tc>
          <w:tcPr>
            <w:tcW w:w="9437" w:type="dxa"/>
          </w:tcPr>
          <w:p w:rsidR="006E3013" w:rsidRPr="006E3013" w:rsidRDefault="006E3013" w:rsidP="006E3013">
            <w:pPr>
              <w:jc w:val="both"/>
              <w:rPr>
                <w:rFonts w:ascii="Arial" w:hAnsi="Arial" w:cs="Arial"/>
                <w:sz w:val="24"/>
                <w:szCs w:val="24"/>
              </w:rPr>
            </w:pPr>
            <w:r w:rsidRPr="006E3013">
              <w:rPr>
                <w:rFonts w:ascii="Arial" w:hAnsi="Arial" w:cs="Arial"/>
                <w:bCs/>
                <w:sz w:val="24"/>
                <w:szCs w:val="24"/>
                <w:lang w:val="es-ES"/>
              </w:rPr>
              <w:t>Inequidad en salud en Bogotá: Convocatoria para la acción colectiva (2012).</w:t>
            </w:r>
          </w:p>
        </w:tc>
      </w:tr>
    </w:tbl>
    <w:p w:rsidR="00842DAE" w:rsidRDefault="00842DAE" w:rsidP="006E3013">
      <w:pPr>
        <w:spacing w:before="120" w:after="120" w:line="240" w:lineRule="auto"/>
        <w:jc w:val="both"/>
        <w:rPr>
          <w:rFonts w:ascii="Arial" w:hAnsi="Arial" w:cs="Arial"/>
          <w:b/>
          <w:sz w:val="24"/>
          <w:szCs w:val="24"/>
        </w:rPr>
      </w:pPr>
    </w:p>
    <w:p w:rsidR="006E3013" w:rsidRPr="006E3013" w:rsidRDefault="00842DAE" w:rsidP="006E3013">
      <w:pPr>
        <w:spacing w:before="120" w:after="120" w:line="240" w:lineRule="auto"/>
        <w:jc w:val="both"/>
        <w:rPr>
          <w:rFonts w:ascii="Arial" w:hAnsi="Arial" w:cs="Arial"/>
          <w:b/>
          <w:sz w:val="24"/>
          <w:szCs w:val="24"/>
        </w:rPr>
      </w:pPr>
      <w:r>
        <w:rPr>
          <w:rFonts w:ascii="Arial" w:hAnsi="Arial" w:cs="Arial"/>
          <w:b/>
          <w:sz w:val="24"/>
          <w:szCs w:val="24"/>
        </w:rPr>
        <w:t xml:space="preserve">2.6.2. </w:t>
      </w:r>
      <w:r w:rsidR="00A379E1" w:rsidRPr="006E3013">
        <w:rPr>
          <w:rFonts w:ascii="Arial" w:hAnsi="Arial" w:cs="Arial"/>
          <w:b/>
          <w:sz w:val="24"/>
          <w:szCs w:val="24"/>
        </w:rPr>
        <w:t>B</w:t>
      </w:r>
      <w:r w:rsidR="009435F0" w:rsidRPr="006E3013">
        <w:rPr>
          <w:rFonts w:ascii="Arial" w:hAnsi="Arial" w:cs="Arial"/>
          <w:b/>
          <w:sz w:val="24"/>
          <w:szCs w:val="24"/>
        </w:rPr>
        <w:t>oletines</w:t>
      </w:r>
      <w:r w:rsidR="006E3013" w:rsidRPr="006E3013">
        <w:rPr>
          <w:rFonts w:ascii="Arial" w:hAnsi="Arial" w:cs="Arial"/>
          <w:b/>
          <w:sz w:val="24"/>
          <w:szCs w:val="24"/>
        </w:rPr>
        <w:t>:</w:t>
      </w:r>
    </w:p>
    <w:tbl>
      <w:tblPr>
        <w:tblStyle w:val="Tablaconcuadrcula"/>
        <w:tblW w:w="0" w:type="auto"/>
        <w:tblLook w:val="04A0" w:firstRow="1" w:lastRow="0" w:firstColumn="1" w:lastColumn="0" w:noHBand="0" w:noVBand="1"/>
      </w:tblPr>
      <w:tblGrid>
        <w:gridCol w:w="550"/>
        <w:gridCol w:w="9638"/>
      </w:tblGrid>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1.</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Regulación macroeconómica y equidad.</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2.</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La discapacidad como huella de la inequidad social en Bogotá.</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3.</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Inequidades en el derecho a la vida. Análisis de la mortalidad por causas evitables en Bogotá (1998-2004).</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4.</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Escuela de formación para la equidad en calidad de vida y salud.</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5.</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Equidad en la protección social de los riesgos derivados de la actividad económica.</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6.</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 xml:space="preserve">Inequidades en salud a lo largo del ciclo de vida en Bogotá. </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7.</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 xml:space="preserve">Estructura de clases sociales y calidad de vida y salud en Bogotá. Modelo de análisis y aspectos metodológicos. </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8.</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Índice de riesgo. Análisis de equidad en salud a través de la Encuesta Nacional de Calidad Vida 2007 para Bogotá D.C.</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9.</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Índice de protección. Análisis de equidad en salud a través de la Encuesta Nacional de Calidad Vida 2007 para Bogotá D.C.</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10.</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Evolución de la calidad de vida en Bogotá, 2003-2011.</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11.</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 xml:space="preserve">Índices de riesgo y protección. Evolución de la equidad en salud en Bogotá, 2007-2011. </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12.</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Riesgo y protección en salud en Bogotá. Análisis a través de variables simples de las encuestas socioeconómicas, 2007-2011.</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13.</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Mortalidad materna e infantil en Bogotá. Seguimiento y análisis de inequidades, 2005-2011.</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14.</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Barreras geográficas y equidad en el acceso a los servicios de salud en el Distrito Capital.</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15.</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Evaluación de la política de gratuidad en hospitales públicos para poblaciones prioritarias definidas.</w:t>
            </w:r>
          </w:p>
        </w:tc>
      </w:tr>
      <w:tr w:rsidR="006E3013" w:rsidRPr="006E3013" w:rsidTr="006E3013">
        <w:tc>
          <w:tcPr>
            <w:tcW w:w="534" w:type="dxa"/>
          </w:tcPr>
          <w:p w:rsidR="006E3013" w:rsidRPr="006E3013" w:rsidRDefault="006E3013" w:rsidP="0022608D">
            <w:pPr>
              <w:spacing w:before="120" w:after="120"/>
              <w:jc w:val="both"/>
              <w:rPr>
                <w:rFonts w:ascii="Arial" w:hAnsi="Arial" w:cs="Arial"/>
                <w:bCs/>
                <w:sz w:val="24"/>
                <w:szCs w:val="24"/>
              </w:rPr>
            </w:pPr>
            <w:r>
              <w:rPr>
                <w:rFonts w:ascii="Arial" w:hAnsi="Arial" w:cs="Arial"/>
                <w:bCs/>
                <w:sz w:val="24"/>
                <w:szCs w:val="24"/>
              </w:rPr>
              <w:t>16.</w:t>
            </w:r>
          </w:p>
        </w:tc>
        <w:tc>
          <w:tcPr>
            <w:tcW w:w="9654" w:type="dxa"/>
          </w:tcPr>
          <w:p w:rsidR="006E3013" w:rsidRPr="006E3013" w:rsidRDefault="006E3013" w:rsidP="0022608D">
            <w:pPr>
              <w:spacing w:before="120" w:after="120"/>
              <w:jc w:val="both"/>
              <w:rPr>
                <w:rFonts w:ascii="Arial" w:hAnsi="Arial" w:cs="Arial"/>
                <w:sz w:val="24"/>
                <w:szCs w:val="24"/>
              </w:rPr>
            </w:pPr>
            <w:r w:rsidRPr="006E3013">
              <w:rPr>
                <w:rFonts w:ascii="Arial" w:hAnsi="Arial" w:cs="Arial"/>
                <w:bCs/>
                <w:sz w:val="24"/>
                <w:szCs w:val="24"/>
              </w:rPr>
              <w:t>Hacia la incorporación del enfoque de equidad en el ámbito local desde una experiencia de capacitación.</w:t>
            </w:r>
          </w:p>
        </w:tc>
      </w:tr>
    </w:tbl>
    <w:p w:rsidR="00C2285A" w:rsidRDefault="00C2285A" w:rsidP="00B2569C">
      <w:pPr>
        <w:spacing w:before="120" w:after="120" w:line="240" w:lineRule="auto"/>
        <w:jc w:val="both"/>
        <w:rPr>
          <w:rFonts w:ascii="Arial" w:hAnsi="Arial" w:cs="Arial"/>
          <w:b/>
          <w:sz w:val="24"/>
          <w:szCs w:val="24"/>
        </w:rPr>
      </w:pPr>
    </w:p>
    <w:p w:rsidR="009435F0" w:rsidRPr="006E3013" w:rsidRDefault="00842DAE" w:rsidP="00B2569C">
      <w:pPr>
        <w:spacing w:before="120" w:after="120" w:line="240" w:lineRule="auto"/>
        <w:jc w:val="both"/>
        <w:rPr>
          <w:rFonts w:ascii="Arial" w:hAnsi="Arial" w:cs="Arial"/>
          <w:b/>
          <w:sz w:val="24"/>
          <w:szCs w:val="24"/>
        </w:rPr>
      </w:pPr>
      <w:r>
        <w:rPr>
          <w:rFonts w:ascii="Arial" w:hAnsi="Arial" w:cs="Arial"/>
          <w:b/>
          <w:sz w:val="24"/>
          <w:szCs w:val="24"/>
        </w:rPr>
        <w:t xml:space="preserve">2.6.3. </w:t>
      </w:r>
      <w:r w:rsidR="00C34D2A" w:rsidRPr="006E3013">
        <w:rPr>
          <w:rFonts w:ascii="Arial" w:hAnsi="Arial" w:cs="Arial"/>
          <w:b/>
          <w:sz w:val="24"/>
          <w:szCs w:val="24"/>
        </w:rPr>
        <w:t>A</w:t>
      </w:r>
      <w:r w:rsidR="006B3DD7" w:rsidRPr="006E3013">
        <w:rPr>
          <w:rFonts w:ascii="Arial" w:hAnsi="Arial" w:cs="Arial"/>
          <w:b/>
          <w:sz w:val="24"/>
          <w:szCs w:val="24"/>
        </w:rPr>
        <w:t>rtículos:</w:t>
      </w:r>
    </w:p>
    <w:tbl>
      <w:tblPr>
        <w:tblStyle w:val="Tablaconcuadrcula"/>
        <w:tblW w:w="0" w:type="auto"/>
        <w:tblLook w:val="04A0" w:firstRow="1" w:lastRow="0" w:firstColumn="1" w:lastColumn="0" w:noHBand="0" w:noVBand="1"/>
      </w:tblPr>
      <w:tblGrid>
        <w:gridCol w:w="534"/>
        <w:gridCol w:w="9654"/>
      </w:tblGrid>
      <w:tr w:rsidR="006E3013" w:rsidRPr="006E3013" w:rsidTr="006E3013">
        <w:tc>
          <w:tcPr>
            <w:tcW w:w="534" w:type="dxa"/>
          </w:tcPr>
          <w:p w:rsidR="006E3013" w:rsidRPr="006E3013" w:rsidRDefault="006E3013" w:rsidP="00F8007B">
            <w:pPr>
              <w:spacing w:before="120" w:after="120"/>
              <w:jc w:val="both"/>
              <w:rPr>
                <w:rFonts w:ascii="Arial" w:hAnsi="Arial" w:cs="Arial"/>
                <w:bCs/>
                <w:sz w:val="24"/>
                <w:szCs w:val="24"/>
              </w:rPr>
            </w:pPr>
            <w:r>
              <w:rPr>
                <w:rFonts w:ascii="Arial" w:hAnsi="Arial" w:cs="Arial"/>
                <w:bCs/>
                <w:sz w:val="24"/>
                <w:szCs w:val="24"/>
              </w:rPr>
              <w:t>1.</w:t>
            </w:r>
          </w:p>
        </w:tc>
        <w:tc>
          <w:tcPr>
            <w:tcW w:w="9654" w:type="dxa"/>
          </w:tcPr>
          <w:p w:rsidR="006E3013" w:rsidRPr="006E3013" w:rsidRDefault="006E3013" w:rsidP="00F8007B">
            <w:pPr>
              <w:spacing w:before="120" w:after="120"/>
              <w:jc w:val="both"/>
              <w:rPr>
                <w:rFonts w:ascii="Arial" w:hAnsi="Arial" w:cs="Arial"/>
                <w:sz w:val="24"/>
                <w:szCs w:val="24"/>
              </w:rPr>
            </w:pPr>
            <w:r w:rsidRPr="006E3013">
              <w:rPr>
                <w:rFonts w:ascii="Arial" w:hAnsi="Arial" w:cs="Arial"/>
                <w:bCs/>
                <w:sz w:val="24"/>
                <w:szCs w:val="24"/>
              </w:rPr>
              <w:t>Diseño de un Observatorio de equidad en calidad de vida y salud para Bogotá. Revista N° 9, pp. pp. 21 – 41.</w:t>
            </w:r>
          </w:p>
        </w:tc>
      </w:tr>
      <w:tr w:rsidR="006E3013" w:rsidRPr="006E3013" w:rsidTr="006E3013">
        <w:tc>
          <w:tcPr>
            <w:tcW w:w="534" w:type="dxa"/>
          </w:tcPr>
          <w:p w:rsidR="006E3013" w:rsidRPr="006E3013" w:rsidRDefault="006E3013" w:rsidP="00F8007B">
            <w:pPr>
              <w:spacing w:before="120" w:after="120"/>
              <w:jc w:val="both"/>
              <w:rPr>
                <w:rFonts w:ascii="Arial" w:hAnsi="Arial" w:cs="Arial"/>
                <w:bCs/>
                <w:sz w:val="24"/>
                <w:szCs w:val="24"/>
              </w:rPr>
            </w:pPr>
            <w:r>
              <w:rPr>
                <w:rFonts w:ascii="Arial" w:hAnsi="Arial" w:cs="Arial"/>
                <w:bCs/>
                <w:sz w:val="24"/>
                <w:szCs w:val="24"/>
              </w:rPr>
              <w:t>2.</w:t>
            </w:r>
          </w:p>
        </w:tc>
        <w:tc>
          <w:tcPr>
            <w:tcW w:w="9654" w:type="dxa"/>
          </w:tcPr>
          <w:p w:rsidR="006E3013" w:rsidRPr="006E3013" w:rsidRDefault="006E3013" w:rsidP="00F8007B">
            <w:pPr>
              <w:spacing w:before="120" w:after="120"/>
              <w:jc w:val="both"/>
              <w:rPr>
                <w:rFonts w:ascii="Arial" w:hAnsi="Arial" w:cs="Arial"/>
                <w:sz w:val="24"/>
                <w:szCs w:val="24"/>
              </w:rPr>
            </w:pPr>
            <w:r w:rsidRPr="006E3013">
              <w:rPr>
                <w:rFonts w:ascii="Arial" w:hAnsi="Arial" w:cs="Arial"/>
                <w:bCs/>
                <w:sz w:val="24"/>
                <w:szCs w:val="24"/>
              </w:rPr>
              <w:t>Inequidad social y discapacidad. Revista N° 10, pp. 45-71.</w:t>
            </w:r>
          </w:p>
        </w:tc>
      </w:tr>
      <w:tr w:rsidR="006E3013" w:rsidRPr="006E3013" w:rsidTr="006E3013">
        <w:tc>
          <w:tcPr>
            <w:tcW w:w="534" w:type="dxa"/>
          </w:tcPr>
          <w:p w:rsidR="006E3013" w:rsidRPr="006E3013" w:rsidRDefault="006E3013" w:rsidP="00F8007B">
            <w:pPr>
              <w:spacing w:before="120" w:after="120"/>
              <w:jc w:val="both"/>
              <w:rPr>
                <w:rFonts w:ascii="Arial" w:hAnsi="Arial" w:cs="Arial"/>
                <w:bCs/>
                <w:sz w:val="24"/>
                <w:szCs w:val="24"/>
              </w:rPr>
            </w:pPr>
            <w:r>
              <w:rPr>
                <w:rFonts w:ascii="Arial" w:hAnsi="Arial" w:cs="Arial"/>
                <w:bCs/>
                <w:sz w:val="24"/>
                <w:szCs w:val="24"/>
              </w:rPr>
              <w:t>3.</w:t>
            </w:r>
          </w:p>
        </w:tc>
        <w:tc>
          <w:tcPr>
            <w:tcW w:w="9654" w:type="dxa"/>
          </w:tcPr>
          <w:p w:rsidR="006E3013" w:rsidRPr="006E3013" w:rsidRDefault="006E3013" w:rsidP="00F8007B">
            <w:pPr>
              <w:spacing w:before="120" w:after="120"/>
              <w:jc w:val="both"/>
              <w:rPr>
                <w:rFonts w:ascii="Arial" w:hAnsi="Arial" w:cs="Arial"/>
                <w:sz w:val="24"/>
                <w:szCs w:val="24"/>
              </w:rPr>
            </w:pPr>
            <w:r w:rsidRPr="006E3013">
              <w:rPr>
                <w:rFonts w:ascii="Arial" w:hAnsi="Arial" w:cs="Arial"/>
                <w:bCs/>
                <w:sz w:val="24"/>
                <w:szCs w:val="24"/>
              </w:rPr>
              <w:t>Evaluación de la política de gratuidad para poblaciones prioritarias en hospitales públicos de Bogotá.</w:t>
            </w:r>
          </w:p>
        </w:tc>
      </w:tr>
      <w:tr w:rsidR="006E3013" w:rsidRPr="006E3013" w:rsidTr="006E3013">
        <w:tc>
          <w:tcPr>
            <w:tcW w:w="534" w:type="dxa"/>
          </w:tcPr>
          <w:p w:rsidR="006E3013" w:rsidRPr="006E3013" w:rsidRDefault="006E3013" w:rsidP="00F8007B">
            <w:pPr>
              <w:spacing w:before="120" w:after="120"/>
              <w:jc w:val="both"/>
              <w:rPr>
                <w:rFonts w:ascii="Arial" w:hAnsi="Arial" w:cs="Arial"/>
                <w:bCs/>
                <w:sz w:val="24"/>
                <w:szCs w:val="24"/>
              </w:rPr>
            </w:pPr>
            <w:r>
              <w:rPr>
                <w:rFonts w:ascii="Arial" w:hAnsi="Arial" w:cs="Arial"/>
                <w:bCs/>
                <w:sz w:val="24"/>
                <w:szCs w:val="24"/>
              </w:rPr>
              <w:t>4.</w:t>
            </w:r>
          </w:p>
        </w:tc>
        <w:tc>
          <w:tcPr>
            <w:tcW w:w="9654" w:type="dxa"/>
          </w:tcPr>
          <w:p w:rsidR="006E3013" w:rsidRPr="006E3013" w:rsidRDefault="006E3013" w:rsidP="00F8007B">
            <w:pPr>
              <w:spacing w:before="120" w:after="120"/>
              <w:jc w:val="both"/>
              <w:rPr>
                <w:rFonts w:ascii="Arial" w:hAnsi="Arial" w:cs="Arial"/>
                <w:sz w:val="24"/>
                <w:szCs w:val="24"/>
              </w:rPr>
            </w:pPr>
            <w:r w:rsidRPr="006E3013">
              <w:rPr>
                <w:rFonts w:ascii="Arial" w:hAnsi="Arial" w:cs="Arial"/>
                <w:bCs/>
                <w:sz w:val="24"/>
                <w:szCs w:val="24"/>
              </w:rPr>
              <w:t>Hacia la incorporación del enfoque de equidad en el ámbito local desde una experiencia de capacitación.</w:t>
            </w:r>
          </w:p>
        </w:tc>
      </w:tr>
      <w:tr w:rsidR="006E3013" w:rsidRPr="006E3013" w:rsidTr="006E3013">
        <w:tc>
          <w:tcPr>
            <w:tcW w:w="534" w:type="dxa"/>
          </w:tcPr>
          <w:p w:rsidR="006E3013" w:rsidRPr="006E3013" w:rsidRDefault="006E3013" w:rsidP="00F8007B">
            <w:pPr>
              <w:spacing w:before="120" w:after="120"/>
              <w:jc w:val="both"/>
              <w:rPr>
                <w:rFonts w:ascii="Arial" w:hAnsi="Arial" w:cs="Arial"/>
                <w:bCs/>
                <w:sz w:val="24"/>
                <w:szCs w:val="24"/>
              </w:rPr>
            </w:pPr>
            <w:r>
              <w:rPr>
                <w:rFonts w:ascii="Arial" w:hAnsi="Arial" w:cs="Arial"/>
                <w:bCs/>
                <w:sz w:val="24"/>
                <w:szCs w:val="24"/>
              </w:rPr>
              <w:t>5.</w:t>
            </w:r>
          </w:p>
        </w:tc>
        <w:tc>
          <w:tcPr>
            <w:tcW w:w="9654" w:type="dxa"/>
          </w:tcPr>
          <w:p w:rsidR="006E3013" w:rsidRPr="006E3013" w:rsidRDefault="006E3013" w:rsidP="00F8007B">
            <w:pPr>
              <w:spacing w:before="120" w:after="120"/>
              <w:jc w:val="both"/>
              <w:rPr>
                <w:rFonts w:ascii="Arial" w:hAnsi="Arial" w:cs="Arial"/>
                <w:sz w:val="24"/>
                <w:szCs w:val="24"/>
              </w:rPr>
            </w:pPr>
            <w:r w:rsidRPr="006E3013">
              <w:rPr>
                <w:rFonts w:ascii="Arial" w:hAnsi="Arial" w:cs="Arial"/>
                <w:bCs/>
                <w:sz w:val="24"/>
                <w:szCs w:val="24"/>
              </w:rPr>
              <w:t>Barreras geográficas y equidad en el acceso a los servicios de salud en el Distrito Capital.</w:t>
            </w:r>
          </w:p>
        </w:tc>
      </w:tr>
      <w:tr w:rsidR="006E3013" w:rsidRPr="006E3013" w:rsidTr="006E3013">
        <w:tc>
          <w:tcPr>
            <w:tcW w:w="534" w:type="dxa"/>
          </w:tcPr>
          <w:p w:rsidR="006E3013" w:rsidRPr="006E3013" w:rsidRDefault="006E3013" w:rsidP="00F8007B">
            <w:pPr>
              <w:spacing w:before="120" w:after="120"/>
              <w:jc w:val="both"/>
              <w:rPr>
                <w:rFonts w:ascii="Arial" w:hAnsi="Arial" w:cs="Arial"/>
                <w:bCs/>
                <w:sz w:val="24"/>
                <w:szCs w:val="24"/>
              </w:rPr>
            </w:pPr>
            <w:r>
              <w:rPr>
                <w:rFonts w:ascii="Arial" w:hAnsi="Arial" w:cs="Arial"/>
                <w:bCs/>
                <w:sz w:val="24"/>
                <w:szCs w:val="24"/>
              </w:rPr>
              <w:t>6.</w:t>
            </w:r>
          </w:p>
        </w:tc>
        <w:tc>
          <w:tcPr>
            <w:tcW w:w="9654" w:type="dxa"/>
          </w:tcPr>
          <w:p w:rsidR="006E3013" w:rsidRPr="006E3013" w:rsidRDefault="006E3013" w:rsidP="00F8007B">
            <w:pPr>
              <w:spacing w:before="120" w:after="120"/>
              <w:jc w:val="both"/>
              <w:rPr>
                <w:rFonts w:ascii="Arial" w:hAnsi="Arial" w:cs="Arial"/>
                <w:sz w:val="24"/>
                <w:szCs w:val="24"/>
              </w:rPr>
            </w:pPr>
            <w:r w:rsidRPr="006E3013">
              <w:rPr>
                <w:rFonts w:ascii="Arial" w:hAnsi="Arial" w:cs="Arial"/>
                <w:bCs/>
                <w:sz w:val="24"/>
                <w:szCs w:val="24"/>
              </w:rPr>
              <w:t>Evolución de la calidad de vida y la salud en Bogotá, 2003-2011.</w:t>
            </w:r>
          </w:p>
        </w:tc>
      </w:tr>
      <w:tr w:rsidR="006E3013" w:rsidRPr="006E3013" w:rsidTr="006E3013">
        <w:tc>
          <w:tcPr>
            <w:tcW w:w="534" w:type="dxa"/>
          </w:tcPr>
          <w:p w:rsidR="006E3013" w:rsidRPr="006E3013" w:rsidRDefault="006E3013" w:rsidP="00F8007B">
            <w:pPr>
              <w:spacing w:before="120" w:after="120"/>
              <w:jc w:val="both"/>
              <w:rPr>
                <w:rFonts w:ascii="Arial" w:hAnsi="Arial" w:cs="Arial"/>
                <w:bCs/>
                <w:sz w:val="24"/>
                <w:szCs w:val="24"/>
              </w:rPr>
            </w:pPr>
            <w:r>
              <w:rPr>
                <w:rFonts w:ascii="Arial" w:hAnsi="Arial" w:cs="Arial"/>
                <w:bCs/>
                <w:sz w:val="24"/>
                <w:szCs w:val="24"/>
              </w:rPr>
              <w:t>7.</w:t>
            </w:r>
          </w:p>
        </w:tc>
        <w:tc>
          <w:tcPr>
            <w:tcW w:w="9654" w:type="dxa"/>
          </w:tcPr>
          <w:p w:rsidR="006E3013" w:rsidRPr="006E3013" w:rsidRDefault="006E3013" w:rsidP="00F8007B">
            <w:pPr>
              <w:spacing w:before="120" w:after="120"/>
              <w:jc w:val="both"/>
              <w:rPr>
                <w:rFonts w:ascii="Arial" w:hAnsi="Arial" w:cs="Arial"/>
                <w:sz w:val="24"/>
                <w:szCs w:val="24"/>
              </w:rPr>
            </w:pPr>
            <w:r w:rsidRPr="006E3013">
              <w:rPr>
                <w:rFonts w:ascii="Arial" w:hAnsi="Arial" w:cs="Arial"/>
                <w:bCs/>
                <w:sz w:val="24"/>
                <w:szCs w:val="24"/>
              </w:rPr>
              <w:t>Índices de riesgo y protección. Evolución de la equidad en salud en Bogotá 2007-2011.</w:t>
            </w:r>
          </w:p>
        </w:tc>
      </w:tr>
      <w:tr w:rsidR="006E3013" w:rsidRPr="006E3013" w:rsidTr="006E3013">
        <w:tc>
          <w:tcPr>
            <w:tcW w:w="534" w:type="dxa"/>
          </w:tcPr>
          <w:p w:rsidR="006E3013" w:rsidRPr="006E3013" w:rsidRDefault="006E3013" w:rsidP="00F8007B">
            <w:pPr>
              <w:spacing w:before="120" w:after="120"/>
              <w:jc w:val="both"/>
              <w:rPr>
                <w:rFonts w:ascii="Arial" w:hAnsi="Arial" w:cs="Arial"/>
                <w:bCs/>
                <w:sz w:val="24"/>
                <w:szCs w:val="24"/>
              </w:rPr>
            </w:pPr>
            <w:r>
              <w:rPr>
                <w:rFonts w:ascii="Arial" w:hAnsi="Arial" w:cs="Arial"/>
                <w:bCs/>
                <w:sz w:val="24"/>
                <w:szCs w:val="24"/>
              </w:rPr>
              <w:t>8.</w:t>
            </w:r>
          </w:p>
        </w:tc>
        <w:tc>
          <w:tcPr>
            <w:tcW w:w="9654" w:type="dxa"/>
          </w:tcPr>
          <w:p w:rsidR="006E3013" w:rsidRPr="006E3013" w:rsidRDefault="006E3013" w:rsidP="00F8007B">
            <w:pPr>
              <w:spacing w:before="120" w:after="120"/>
              <w:jc w:val="both"/>
              <w:rPr>
                <w:rFonts w:ascii="Arial" w:hAnsi="Arial" w:cs="Arial"/>
                <w:sz w:val="24"/>
                <w:szCs w:val="24"/>
              </w:rPr>
            </w:pPr>
            <w:r w:rsidRPr="006E3013">
              <w:rPr>
                <w:rFonts w:ascii="Arial" w:hAnsi="Arial" w:cs="Arial"/>
                <w:bCs/>
                <w:sz w:val="24"/>
                <w:szCs w:val="24"/>
              </w:rPr>
              <w:t>Mortalidad materna e infantil en Bogotá. Seguimiento y Análisis de Inequidades 2005-2011.</w:t>
            </w:r>
          </w:p>
        </w:tc>
      </w:tr>
      <w:tr w:rsidR="006E3013" w:rsidRPr="006E3013" w:rsidTr="006E3013">
        <w:tc>
          <w:tcPr>
            <w:tcW w:w="534" w:type="dxa"/>
          </w:tcPr>
          <w:p w:rsidR="006E3013" w:rsidRPr="006E3013" w:rsidRDefault="006E3013" w:rsidP="00F8007B">
            <w:pPr>
              <w:spacing w:before="120" w:after="120"/>
              <w:jc w:val="both"/>
              <w:rPr>
                <w:rFonts w:ascii="Arial" w:hAnsi="Arial" w:cs="Arial"/>
                <w:bCs/>
                <w:sz w:val="24"/>
                <w:szCs w:val="24"/>
              </w:rPr>
            </w:pPr>
            <w:r>
              <w:rPr>
                <w:rFonts w:ascii="Arial" w:hAnsi="Arial" w:cs="Arial"/>
                <w:bCs/>
                <w:sz w:val="24"/>
                <w:szCs w:val="24"/>
              </w:rPr>
              <w:t>9.</w:t>
            </w:r>
          </w:p>
        </w:tc>
        <w:tc>
          <w:tcPr>
            <w:tcW w:w="9654" w:type="dxa"/>
          </w:tcPr>
          <w:p w:rsidR="006E3013" w:rsidRPr="006E3013" w:rsidRDefault="006E3013" w:rsidP="00F8007B">
            <w:pPr>
              <w:spacing w:before="120" w:after="120"/>
              <w:jc w:val="both"/>
              <w:rPr>
                <w:rFonts w:ascii="Arial" w:hAnsi="Arial" w:cs="Arial"/>
                <w:sz w:val="24"/>
                <w:szCs w:val="24"/>
              </w:rPr>
            </w:pPr>
            <w:r w:rsidRPr="006E3013">
              <w:rPr>
                <w:rFonts w:ascii="Arial" w:hAnsi="Arial" w:cs="Arial"/>
                <w:bCs/>
                <w:sz w:val="24"/>
                <w:szCs w:val="24"/>
              </w:rPr>
              <w:t>Observación del comportamiento de la desigualdad en salud en Bogotá, 2007-2011</w:t>
            </w:r>
          </w:p>
        </w:tc>
      </w:tr>
    </w:tbl>
    <w:p w:rsidR="00A43CB8" w:rsidRDefault="00A43CB8" w:rsidP="00B2569C">
      <w:pPr>
        <w:spacing w:before="120" w:after="120" w:line="240" w:lineRule="auto"/>
        <w:jc w:val="both"/>
        <w:rPr>
          <w:rFonts w:ascii="Arial" w:hAnsi="Arial" w:cs="Arial"/>
          <w:b/>
          <w:sz w:val="24"/>
          <w:szCs w:val="24"/>
        </w:rPr>
      </w:pPr>
    </w:p>
    <w:p w:rsidR="00A43CB8" w:rsidRPr="00842DAE" w:rsidRDefault="00A43CB8" w:rsidP="00D85868">
      <w:pPr>
        <w:pStyle w:val="Prrafodelista"/>
        <w:numPr>
          <w:ilvl w:val="1"/>
          <w:numId w:val="9"/>
        </w:numPr>
        <w:spacing w:before="120" w:after="120" w:line="240" w:lineRule="auto"/>
        <w:jc w:val="both"/>
        <w:rPr>
          <w:rFonts w:ascii="Arial" w:hAnsi="Arial" w:cs="Arial"/>
          <w:b/>
          <w:sz w:val="24"/>
          <w:szCs w:val="24"/>
        </w:rPr>
      </w:pPr>
      <w:r w:rsidRPr="00842DAE">
        <w:rPr>
          <w:rFonts w:ascii="Arial" w:hAnsi="Arial" w:cs="Arial"/>
          <w:b/>
          <w:sz w:val="24"/>
          <w:szCs w:val="24"/>
        </w:rPr>
        <w:t>Principales hallazgos Observatorio 2011-2012 y divulgación de resultados.</w:t>
      </w:r>
    </w:p>
    <w:p w:rsidR="00A43CB8" w:rsidRPr="00B2569C" w:rsidRDefault="00A43CB8" w:rsidP="00D85868">
      <w:pPr>
        <w:pStyle w:val="Prrafodelista"/>
        <w:numPr>
          <w:ilvl w:val="0"/>
          <w:numId w:val="5"/>
        </w:numPr>
        <w:spacing w:before="120" w:after="120" w:line="240" w:lineRule="auto"/>
        <w:jc w:val="both"/>
        <w:rPr>
          <w:rFonts w:ascii="Arial" w:hAnsi="Arial" w:cs="Arial"/>
          <w:sz w:val="24"/>
          <w:szCs w:val="24"/>
        </w:rPr>
      </w:pPr>
      <w:r w:rsidRPr="00B2569C">
        <w:rPr>
          <w:rFonts w:ascii="Arial" w:hAnsi="Arial" w:cs="Arial"/>
          <w:sz w:val="24"/>
          <w:szCs w:val="24"/>
        </w:rPr>
        <w:t>Persisten las inequidades en calidad de vida, riesgo, protección y deterioro en salud por posición social, con base en encuestas poblacionales entre 2003, 2007 y 2011.</w:t>
      </w:r>
    </w:p>
    <w:p w:rsidR="00A43CB8" w:rsidRPr="00B2569C" w:rsidRDefault="00A43CB8" w:rsidP="00D85868">
      <w:pPr>
        <w:pStyle w:val="Prrafodelista"/>
        <w:numPr>
          <w:ilvl w:val="0"/>
          <w:numId w:val="5"/>
        </w:numPr>
        <w:spacing w:before="120" w:after="120" w:line="240" w:lineRule="auto"/>
        <w:jc w:val="both"/>
        <w:rPr>
          <w:rFonts w:ascii="Arial" w:hAnsi="Arial" w:cs="Arial"/>
          <w:sz w:val="24"/>
          <w:szCs w:val="24"/>
        </w:rPr>
      </w:pPr>
      <w:r w:rsidRPr="00B2569C">
        <w:rPr>
          <w:rFonts w:ascii="Arial" w:hAnsi="Arial" w:cs="Arial"/>
          <w:sz w:val="24"/>
          <w:szCs w:val="24"/>
          <w:lang w:val="es-ES_tradnl"/>
        </w:rPr>
        <w:t xml:space="preserve">Hay una fuerte segmentación espacial de la ciudad según la estructura de clases. </w:t>
      </w:r>
    </w:p>
    <w:p w:rsidR="00A43CB8" w:rsidRPr="00B2569C" w:rsidRDefault="00A43CB8" w:rsidP="00D85868">
      <w:pPr>
        <w:pStyle w:val="Prrafodelista"/>
        <w:numPr>
          <w:ilvl w:val="0"/>
          <w:numId w:val="5"/>
        </w:numPr>
        <w:spacing w:before="120" w:after="120" w:line="240" w:lineRule="auto"/>
        <w:jc w:val="both"/>
        <w:rPr>
          <w:rFonts w:ascii="Arial" w:hAnsi="Arial" w:cs="Arial"/>
          <w:sz w:val="24"/>
          <w:szCs w:val="24"/>
        </w:rPr>
      </w:pPr>
      <w:r w:rsidRPr="00B2569C">
        <w:rPr>
          <w:rFonts w:ascii="Arial" w:hAnsi="Arial" w:cs="Arial"/>
          <w:sz w:val="24"/>
          <w:szCs w:val="24"/>
        </w:rPr>
        <w:t>Es notorio el impacto de la política de flexibilización laboral de los 90 por el incremento de trabajadores por cuenta propia.</w:t>
      </w:r>
    </w:p>
    <w:p w:rsidR="00A43CB8" w:rsidRPr="00B2569C" w:rsidRDefault="00A43CB8" w:rsidP="00D85868">
      <w:pPr>
        <w:pStyle w:val="Prrafodelista"/>
        <w:numPr>
          <w:ilvl w:val="0"/>
          <w:numId w:val="5"/>
        </w:numPr>
        <w:spacing w:before="120" w:after="120" w:line="240" w:lineRule="auto"/>
        <w:jc w:val="both"/>
        <w:rPr>
          <w:rFonts w:ascii="Arial" w:hAnsi="Arial" w:cs="Arial"/>
          <w:sz w:val="24"/>
          <w:szCs w:val="24"/>
        </w:rPr>
      </w:pPr>
      <w:r w:rsidRPr="00B2569C">
        <w:rPr>
          <w:rFonts w:ascii="Arial" w:hAnsi="Arial" w:cs="Arial"/>
          <w:sz w:val="24"/>
          <w:szCs w:val="24"/>
        </w:rPr>
        <w:t>Persiste la tendencia a la concentración de riqueza y bienestar a pesar de mejoras (principalmente salud y educación).</w:t>
      </w:r>
    </w:p>
    <w:p w:rsidR="00A43CB8" w:rsidRPr="00B2569C" w:rsidRDefault="00A43CB8" w:rsidP="00D85868">
      <w:pPr>
        <w:pStyle w:val="Prrafodelista"/>
        <w:numPr>
          <w:ilvl w:val="0"/>
          <w:numId w:val="5"/>
        </w:numPr>
        <w:spacing w:before="120" w:after="120" w:line="240" w:lineRule="auto"/>
        <w:jc w:val="both"/>
        <w:rPr>
          <w:rFonts w:ascii="Arial" w:hAnsi="Arial" w:cs="Arial"/>
          <w:sz w:val="24"/>
          <w:szCs w:val="24"/>
        </w:rPr>
      </w:pPr>
      <w:r w:rsidRPr="00B2569C">
        <w:rPr>
          <w:rFonts w:ascii="Arial" w:hAnsi="Arial" w:cs="Arial"/>
          <w:sz w:val="24"/>
          <w:szCs w:val="24"/>
        </w:rPr>
        <w:t>Deterioro en calidad de vida de los sectores medios, con menor protección social.</w:t>
      </w:r>
    </w:p>
    <w:p w:rsidR="00A43CB8" w:rsidRPr="00B2569C" w:rsidRDefault="00A43CB8" w:rsidP="00D85868">
      <w:pPr>
        <w:pStyle w:val="Prrafodelista"/>
        <w:numPr>
          <w:ilvl w:val="0"/>
          <w:numId w:val="5"/>
        </w:numPr>
        <w:spacing w:before="120" w:after="120" w:line="240" w:lineRule="auto"/>
        <w:jc w:val="both"/>
        <w:rPr>
          <w:rFonts w:ascii="Arial" w:hAnsi="Arial" w:cs="Arial"/>
          <w:sz w:val="24"/>
          <w:szCs w:val="24"/>
        </w:rPr>
      </w:pPr>
      <w:r w:rsidRPr="00B2569C">
        <w:rPr>
          <w:rFonts w:ascii="Arial" w:hAnsi="Arial" w:cs="Arial"/>
          <w:sz w:val="24"/>
          <w:szCs w:val="24"/>
        </w:rPr>
        <w:t>Fuerte gradiente de discapacidad por clase social.</w:t>
      </w:r>
    </w:p>
    <w:p w:rsidR="00A43CB8" w:rsidRPr="00B2569C" w:rsidRDefault="00A43CB8" w:rsidP="00D85868">
      <w:pPr>
        <w:pStyle w:val="Prrafodelista"/>
        <w:numPr>
          <w:ilvl w:val="0"/>
          <w:numId w:val="5"/>
        </w:numPr>
        <w:spacing w:before="120" w:after="120" w:line="240" w:lineRule="auto"/>
        <w:jc w:val="both"/>
        <w:rPr>
          <w:rFonts w:ascii="Arial" w:hAnsi="Arial" w:cs="Arial"/>
          <w:sz w:val="24"/>
          <w:szCs w:val="24"/>
        </w:rPr>
      </w:pPr>
      <w:r w:rsidRPr="00B2569C">
        <w:rPr>
          <w:rFonts w:ascii="Arial" w:hAnsi="Arial" w:cs="Arial"/>
          <w:sz w:val="24"/>
          <w:szCs w:val="24"/>
        </w:rPr>
        <w:t xml:space="preserve">Índices de riesgo y protección siguen mostrando una relación inversa por posición social. </w:t>
      </w:r>
    </w:p>
    <w:p w:rsidR="00A43CB8" w:rsidRPr="00B2569C" w:rsidRDefault="00A43CB8" w:rsidP="00D85868">
      <w:pPr>
        <w:pStyle w:val="Prrafodelista"/>
        <w:numPr>
          <w:ilvl w:val="0"/>
          <w:numId w:val="5"/>
        </w:numPr>
        <w:spacing w:before="120" w:after="120" w:line="240" w:lineRule="auto"/>
        <w:jc w:val="both"/>
        <w:rPr>
          <w:rFonts w:ascii="Arial" w:hAnsi="Arial" w:cs="Arial"/>
          <w:sz w:val="24"/>
          <w:szCs w:val="24"/>
        </w:rPr>
      </w:pPr>
      <w:r w:rsidRPr="00B2569C">
        <w:rPr>
          <w:rFonts w:ascii="Arial" w:hAnsi="Arial" w:cs="Arial"/>
          <w:sz w:val="24"/>
          <w:szCs w:val="24"/>
        </w:rPr>
        <w:t>Inseguridad alimentaria es fuertemente desigual.</w:t>
      </w:r>
      <w:r w:rsidRPr="00B2569C">
        <w:rPr>
          <w:rFonts w:ascii="Arial" w:hAnsi="Arial" w:cs="Arial"/>
          <w:sz w:val="24"/>
          <w:szCs w:val="24"/>
          <w:lang w:val="es-ES"/>
        </w:rPr>
        <w:t xml:space="preserve"> </w:t>
      </w:r>
    </w:p>
    <w:p w:rsidR="00A43CB8" w:rsidRPr="00B2569C" w:rsidRDefault="00A43CB8" w:rsidP="00B2569C">
      <w:pPr>
        <w:autoSpaceDE w:val="0"/>
        <w:autoSpaceDN w:val="0"/>
        <w:adjustRightInd w:val="0"/>
        <w:spacing w:before="120" w:after="120" w:line="240" w:lineRule="auto"/>
        <w:jc w:val="both"/>
        <w:rPr>
          <w:rFonts w:ascii="Arial" w:hAnsi="Arial" w:cs="Arial"/>
          <w:sz w:val="24"/>
          <w:szCs w:val="24"/>
        </w:rPr>
      </w:pPr>
      <w:r w:rsidRPr="00B2569C">
        <w:rPr>
          <w:rFonts w:ascii="Arial" w:hAnsi="Arial" w:cs="Arial"/>
          <w:sz w:val="24"/>
          <w:szCs w:val="24"/>
        </w:rPr>
        <w:t>Estos resultados, han sido socializados a través de cuatro presentaciones realizadas entre los meses de septiembre a diciembre de 2012, ante distintas instancias sectoriales, intersectoriales, comunidad académica, organizaciones sociales del sector salud y sociedad civil en general, tales como:</w:t>
      </w:r>
    </w:p>
    <w:p w:rsidR="00A43CB8" w:rsidRPr="00B2569C" w:rsidRDefault="00A43CB8" w:rsidP="00D85868">
      <w:pPr>
        <w:numPr>
          <w:ilvl w:val="0"/>
          <w:numId w:val="4"/>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 xml:space="preserve">Comité Directivo de la Secretaría Distrital de Salud de Bogotá y los 22 gerentes/as de las Empresas Sociales del Estado de la Red Pública Distrital adscrita; </w:t>
      </w:r>
    </w:p>
    <w:p w:rsidR="00A43CB8" w:rsidRPr="00B2569C" w:rsidRDefault="00A43CB8" w:rsidP="00D85868">
      <w:pPr>
        <w:numPr>
          <w:ilvl w:val="0"/>
          <w:numId w:val="4"/>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Funcionarios/as de las distintas direcciones de la SDS, el 5 de septiembre de 2012, de 8:00 a.m. – 12 m., Sala de Juntas de la Dirección de Planeación y Sistemas.</w:t>
      </w:r>
    </w:p>
    <w:p w:rsidR="00A43CB8" w:rsidRPr="00B2569C" w:rsidRDefault="00A43CB8" w:rsidP="00D85868">
      <w:pPr>
        <w:numPr>
          <w:ilvl w:val="0"/>
          <w:numId w:val="4"/>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Funcionarios/as de las distintas Secretarías de la Administración Distrital y de los 22 hospitales de la Red Pública Distrital adscrita, el 2 de noviembre de 2012, de 8:00 a.m. – 5:00 p.m., en la Sede de la Cooperativa de Profesores de la Universidad Nacional de Colombia.</w:t>
      </w:r>
    </w:p>
    <w:p w:rsidR="00A43CB8" w:rsidRPr="00B2569C" w:rsidRDefault="00A43CB8" w:rsidP="00D85868">
      <w:pPr>
        <w:numPr>
          <w:ilvl w:val="0"/>
          <w:numId w:val="4"/>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Comunidad académica, investigadores, profesionales, organizaciones sociales y público en general, el 13 de noviembre de 2012, de 8:00 a.m. – 1:00 p.m., Auditorio Principal, Secretaría Distrital de Salud de Bogotá.</w:t>
      </w:r>
    </w:p>
    <w:p w:rsidR="00A43CB8" w:rsidRPr="00B2569C" w:rsidRDefault="00A43CB8" w:rsidP="00B2569C">
      <w:pPr>
        <w:spacing w:before="120" w:after="120" w:line="240" w:lineRule="auto"/>
        <w:jc w:val="both"/>
        <w:rPr>
          <w:rFonts w:ascii="Arial" w:hAnsi="Arial" w:cs="Arial"/>
          <w:sz w:val="24"/>
          <w:szCs w:val="24"/>
        </w:rPr>
      </w:pPr>
      <w:r w:rsidRPr="00B2569C">
        <w:rPr>
          <w:rFonts w:ascii="Arial" w:hAnsi="Arial" w:cs="Arial"/>
          <w:sz w:val="24"/>
          <w:szCs w:val="24"/>
        </w:rPr>
        <w:t>Por otra parte, el proceso del Observatorio y la socialización de sus resultados también fueron presentados en cuatro eventos distritales desarrollados entre los meses de diciembre de 2012 y junio de 2013:</w:t>
      </w:r>
    </w:p>
    <w:p w:rsidR="00A43CB8" w:rsidRPr="00B2569C" w:rsidRDefault="00A43CB8" w:rsidP="00D85868">
      <w:pPr>
        <w:numPr>
          <w:ilvl w:val="0"/>
          <w:numId w:val="7"/>
        </w:numPr>
        <w:spacing w:before="120" w:after="120" w:line="240" w:lineRule="auto"/>
        <w:contextualSpacing/>
        <w:jc w:val="both"/>
        <w:rPr>
          <w:rFonts w:ascii="Arial" w:eastAsia="Calibri" w:hAnsi="Arial" w:cs="Arial"/>
          <w:sz w:val="24"/>
          <w:szCs w:val="24"/>
        </w:rPr>
      </w:pPr>
      <w:r w:rsidRPr="00B2569C">
        <w:rPr>
          <w:rFonts w:ascii="Arial" w:eastAsia="Calibri" w:hAnsi="Arial" w:cs="Arial"/>
          <w:sz w:val="24"/>
          <w:szCs w:val="24"/>
        </w:rPr>
        <w:t>Encuentro Internacional, Observatorios: Una visión hacia las ciudades sostenibles, (Bogotá, Alcaldía Mayor de Bogotá, 14 de diciembre de 2012).</w:t>
      </w:r>
    </w:p>
    <w:p w:rsidR="00A43CB8" w:rsidRPr="00B2569C" w:rsidRDefault="00A43CB8" w:rsidP="00D85868">
      <w:pPr>
        <w:numPr>
          <w:ilvl w:val="0"/>
          <w:numId w:val="7"/>
        </w:numPr>
        <w:spacing w:before="120" w:after="120" w:line="240" w:lineRule="auto"/>
        <w:contextualSpacing/>
        <w:jc w:val="both"/>
        <w:rPr>
          <w:rFonts w:ascii="Arial" w:eastAsia="Calibri" w:hAnsi="Arial" w:cs="Arial"/>
          <w:sz w:val="24"/>
          <w:szCs w:val="24"/>
        </w:rPr>
      </w:pPr>
      <w:r w:rsidRPr="00B2569C">
        <w:rPr>
          <w:rFonts w:ascii="Arial" w:eastAsia="Calibri" w:hAnsi="Arial" w:cs="Arial"/>
          <w:sz w:val="24"/>
          <w:szCs w:val="24"/>
        </w:rPr>
        <w:t>Encuentro de Observatorios, Observatorio Nacional de Salud, (Bogotá, Instituto Nacional de Salud, 15 de mayo de 2013).</w:t>
      </w:r>
    </w:p>
    <w:p w:rsidR="00A43CB8" w:rsidRPr="00B2569C" w:rsidRDefault="00A43CB8" w:rsidP="00D85868">
      <w:pPr>
        <w:numPr>
          <w:ilvl w:val="0"/>
          <w:numId w:val="7"/>
        </w:numPr>
        <w:spacing w:before="120" w:after="120" w:line="240" w:lineRule="auto"/>
        <w:contextualSpacing/>
        <w:jc w:val="both"/>
        <w:rPr>
          <w:rFonts w:ascii="Arial" w:eastAsia="Calibri" w:hAnsi="Arial" w:cs="Arial"/>
          <w:sz w:val="24"/>
          <w:szCs w:val="24"/>
        </w:rPr>
      </w:pPr>
      <w:r w:rsidRPr="00B2569C">
        <w:rPr>
          <w:rFonts w:ascii="Arial" w:eastAsia="Calibri" w:hAnsi="Arial" w:cs="Arial"/>
          <w:sz w:val="24"/>
          <w:szCs w:val="24"/>
        </w:rPr>
        <w:t>Encuentro Socialización Documento Lineamientos generales para la implementación de Observatorios en el Distrito capital (Bogotá, Comisión Intersectorial de Estudios Económicos, Información y Estadísticas (CIEEIE), 27 de mayo de 2013).</w:t>
      </w:r>
    </w:p>
    <w:p w:rsidR="00A43CB8" w:rsidRPr="00B2569C" w:rsidRDefault="00A43CB8" w:rsidP="00D85868">
      <w:pPr>
        <w:numPr>
          <w:ilvl w:val="0"/>
          <w:numId w:val="7"/>
        </w:numPr>
        <w:spacing w:before="120" w:after="120" w:line="240" w:lineRule="auto"/>
        <w:contextualSpacing/>
        <w:jc w:val="both"/>
        <w:rPr>
          <w:rFonts w:ascii="Arial" w:eastAsia="Calibri" w:hAnsi="Arial" w:cs="Arial"/>
          <w:sz w:val="24"/>
          <w:szCs w:val="24"/>
        </w:rPr>
      </w:pPr>
      <w:r w:rsidRPr="00B2569C">
        <w:rPr>
          <w:rFonts w:ascii="Arial" w:eastAsia="Calibri" w:hAnsi="Arial" w:cs="Arial"/>
          <w:sz w:val="24"/>
          <w:szCs w:val="24"/>
        </w:rPr>
        <w:t>Comité de Vigilancia Epidemiológica COVE Distrital, (Bogotá,  Auditorio Hemocentro, 5 de junio de 2013).</w:t>
      </w:r>
    </w:p>
    <w:p w:rsidR="00FD55E2" w:rsidRPr="00B2569C" w:rsidRDefault="00FD55E2" w:rsidP="00B2569C">
      <w:pPr>
        <w:autoSpaceDE w:val="0"/>
        <w:autoSpaceDN w:val="0"/>
        <w:adjustRightInd w:val="0"/>
        <w:spacing w:before="120" w:after="120" w:line="240" w:lineRule="auto"/>
        <w:jc w:val="both"/>
        <w:rPr>
          <w:rFonts w:ascii="Arial" w:hAnsi="Arial" w:cs="Arial"/>
          <w:b/>
          <w:sz w:val="24"/>
          <w:szCs w:val="24"/>
        </w:rPr>
      </w:pPr>
    </w:p>
    <w:p w:rsidR="00E23CDD" w:rsidRPr="00842DAE" w:rsidRDefault="00E23CDD" w:rsidP="00D85868">
      <w:pPr>
        <w:pStyle w:val="Prrafodelista"/>
        <w:numPr>
          <w:ilvl w:val="1"/>
          <w:numId w:val="9"/>
        </w:numPr>
        <w:autoSpaceDE w:val="0"/>
        <w:autoSpaceDN w:val="0"/>
        <w:adjustRightInd w:val="0"/>
        <w:spacing w:before="120" w:after="120" w:line="240" w:lineRule="auto"/>
        <w:jc w:val="both"/>
        <w:rPr>
          <w:rFonts w:ascii="Arial" w:hAnsi="Arial" w:cs="Arial"/>
          <w:b/>
          <w:sz w:val="24"/>
          <w:szCs w:val="24"/>
        </w:rPr>
      </w:pPr>
      <w:r w:rsidRPr="00842DAE">
        <w:rPr>
          <w:rFonts w:ascii="Arial" w:hAnsi="Arial" w:cs="Arial"/>
          <w:b/>
          <w:sz w:val="24"/>
          <w:szCs w:val="24"/>
        </w:rPr>
        <w:t>Foros</w:t>
      </w:r>
    </w:p>
    <w:p w:rsidR="006B3DD7" w:rsidRPr="00B2569C" w:rsidRDefault="00E23CDD" w:rsidP="00B2569C">
      <w:pPr>
        <w:autoSpaceDE w:val="0"/>
        <w:autoSpaceDN w:val="0"/>
        <w:adjustRightInd w:val="0"/>
        <w:spacing w:before="120" w:after="120" w:line="240" w:lineRule="auto"/>
        <w:jc w:val="both"/>
        <w:rPr>
          <w:rFonts w:ascii="Arial" w:hAnsi="Arial" w:cs="Arial"/>
          <w:sz w:val="24"/>
          <w:szCs w:val="24"/>
        </w:rPr>
      </w:pPr>
      <w:r w:rsidRPr="00B2569C">
        <w:rPr>
          <w:rFonts w:ascii="Arial" w:hAnsi="Arial" w:cs="Arial"/>
          <w:sz w:val="24"/>
          <w:szCs w:val="24"/>
        </w:rPr>
        <w:t xml:space="preserve">Desde otra perspectiva, </w:t>
      </w:r>
      <w:r w:rsidR="006B3DD7" w:rsidRPr="00B2569C">
        <w:rPr>
          <w:rFonts w:ascii="Arial" w:hAnsi="Arial" w:cs="Arial"/>
          <w:sz w:val="24"/>
          <w:szCs w:val="24"/>
        </w:rPr>
        <w:t>de acuerdo a los objetivos 3 y 4 del Observatorio enunciados al inicio de este capítulo, el Observatorio ha realizado cuatro foros:</w:t>
      </w:r>
    </w:p>
    <w:p w:rsidR="00A12238" w:rsidRPr="00B2569C" w:rsidRDefault="000B1450" w:rsidP="00D85868">
      <w:pPr>
        <w:numPr>
          <w:ilvl w:val="0"/>
          <w:numId w:val="6"/>
        </w:numPr>
        <w:spacing w:before="120" w:after="120" w:line="240" w:lineRule="auto"/>
        <w:ind w:left="357" w:hanging="357"/>
        <w:jc w:val="both"/>
        <w:rPr>
          <w:rFonts w:ascii="Arial" w:hAnsi="Arial" w:cs="Arial"/>
          <w:sz w:val="24"/>
          <w:szCs w:val="24"/>
        </w:rPr>
      </w:pPr>
      <w:r w:rsidRPr="00B2569C">
        <w:rPr>
          <w:rFonts w:ascii="Arial" w:hAnsi="Arial" w:cs="Arial"/>
          <w:bCs/>
          <w:sz w:val="24"/>
          <w:szCs w:val="24"/>
          <w:lang w:val="es-ES"/>
        </w:rPr>
        <w:t xml:space="preserve">Foro Equidad en Salud y Emergencia Social (17 de marzo de 2010). </w:t>
      </w:r>
    </w:p>
    <w:p w:rsidR="00A12238" w:rsidRPr="00B2569C" w:rsidRDefault="000B1450" w:rsidP="00D85868">
      <w:pPr>
        <w:numPr>
          <w:ilvl w:val="0"/>
          <w:numId w:val="6"/>
        </w:numPr>
        <w:spacing w:before="120" w:after="120" w:line="240" w:lineRule="auto"/>
        <w:ind w:left="357" w:hanging="357"/>
        <w:jc w:val="both"/>
        <w:rPr>
          <w:rFonts w:ascii="Arial" w:hAnsi="Arial" w:cs="Arial"/>
          <w:sz w:val="24"/>
          <w:szCs w:val="24"/>
        </w:rPr>
      </w:pPr>
      <w:r w:rsidRPr="00B2569C">
        <w:rPr>
          <w:rFonts w:ascii="Arial" w:hAnsi="Arial" w:cs="Arial"/>
          <w:bCs/>
          <w:sz w:val="24"/>
          <w:szCs w:val="24"/>
          <w:lang w:val="es-ES"/>
        </w:rPr>
        <w:t xml:space="preserve">Foro La Defensa de los bienes públicos: El caso del Hospital San Juan de Dios de la Hortúa, (21 de octubre de 2011). </w:t>
      </w:r>
    </w:p>
    <w:p w:rsidR="00A12238" w:rsidRPr="00B2569C" w:rsidRDefault="000B1450" w:rsidP="00D85868">
      <w:pPr>
        <w:numPr>
          <w:ilvl w:val="0"/>
          <w:numId w:val="6"/>
        </w:numPr>
        <w:spacing w:before="120" w:after="120" w:line="240" w:lineRule="auto"/>
        <w:ind w:left="357" w:hanging="357"/>
        <w:jc w:val="both"/>
        <w:rPr>
          <w:rFonts w:ascii="Arial" w:hAnsi="Arial" w:cs="Arial"/>
          <w:sz w:val="24"/>
          <w:szCs w:val="24"/>
        </w:rPr>
      </w:pPr>
      <w:r w:rsidRPr="00B2569C">
        <w:rPr>
          <w:rFonts w:ascii="Arial" w:hAnsi="Arial" w:cs="Arial"/>
          <w:bCs/>
          <w:sz w:val="24"/>
          <w:szCs w:val="24"/>
          <w:lang w:val="es-ES"/>
        </w:rPr>
        <w:t>Foro Crisis del Sector Salud, (21 de noviembre de 2011).</w:t>
      </w:r>
    </w:p>
    <w:p w:rsidR="00A12238" w:rsidRPr="00B2569C" w:rsidRDefault="000B1450" w:rsidP="00D85868">
      <w:pPr>
        <w:numPr>
          <w:ilvl w:val="0"/>
          <w:numId w:val="6"/>
        </w:numPr>
        <w:spacing w:before="120" w:after="120" w:line="240" w:lineRule="auto"/>
        <w:ind w:left="357" w:hanging="357"/>
        <w:jc w:val="both"/>
        <w:rPr>
          <w:rFonts w:ascii="Arial" w:hAnsi="Arial" w:cs="Arial"/>
          <w:sz w:val="24"/>
          <w:szCs w:val="24"/>
        </w:rPr>
      </w:pPr>
      <w:r w:rsidRPr="00B2569C">
        <w:rPr>
          <w:rFonts w:ascii="Arial" w:hAnsi="Arial" w:cs="Arial"/>
          <w:bCs/>
          <w:sz w:val="24"/>
          <w:szCs w:val="24"/>
          <w:lang w:val="es-ES"/>
        </w:rPr>
        <w:t>Foro Ética de la Investigación y la atención en salud, (16 diciembre de 2011).</w:t>
      </w:r>
    </w:p>
    <w:p w:rsidR="00955C78" w:rsidRPr="00B2569C" w:rsidRDefault="006B3DD7" w:rsidP="00B2569C">
      <w:pPr>
        <w:spacing w:before="120" w:after="120" w:line="240" w:lineRule="auto"/>
        <w:jc w:val="both"/>
        <w:rPr>
          <w:rFonts w:ascii="Arial" w:hAnsi="Arial" w:cs="Arial"/>
          <w:sz w:val="24"/>
          <w:szCs w:val="24"/>
        </w:rPr>
      </w:pPr>
      <w:r w:rsidRPr="00B2569C">
        <w:rPr>
          <w:rFonts w:ascii="Arial" w:hAnsi="Arial" w:cs="Arial"/>
          <w:sz w:val="24"/>
          <w:szCs w:val="24"/>
        </w:rPr>
        <w:t xml:space="preserve">Por otra parte, el Observatorio ha llevado a cabo procesos de </w:t>
      </w:r>
      <w:r w:rsidR="00955C78" w:rsidRPr="00B2569C">
        <w:rPr>
          <w:rFonts w:ascii="Arial" w:hAnsi="Arial" w:cs="Arial"/>
          <w:bCs/>
          <w:sz w:val="24"/>
          <w:szCs w:val="24"/>
          <w:lang w:val="es-ES"/>
        </w:rPr>
        <w:t xml:space="preserve">formación en derechos para la equidad en calidad de vida y salud </w:t>
      </w:r>
      <w:r w:rsidR="00955C78" w:rsidRPr="00B2569C">
        <w:rPr>
          <w:rFonts w:ascii="Arial" w:hAnsi="Arial" w:cs="Arial"/>
          <w:bCs/>
          <w:sz w:val="24"/>
          <w:szCs w:val="24"/>
          <w:lang w:val="es-ES_tradnl"/>
        </w:rPr>
        <w:t xml:space="preserve">para propiciar la incorporación institucional del enfoque de equidad en el escenario local, tanto en el análisis de la situación de salud como en la formulación de políticas y programas. </w:t>
      </w:r>
    </w:p>
    <w:p w:rsidR="00A43CB8" w:rsidRPr="00B2569C" w:rsidRDefault="00A43CB8" w:rsidP="00B2569C">
      <w:pPr>
        <w:autoSpaceDE w:val="0"/>
        <w:autoSpaceDN w:val="0"/>
        <w:adjustRightInd w:val="0"/>
        <w:spacing w:before="120" w:after="120" w:line="240" w:lineRule="auto"/>
        <w:jc w:val="both"/>
        <w:rPr>
          <w:rFonts w:ascii="Arial" w:hAnsi="Arial" w:cs="Arial"/>
          <w:b/>
          <w:sz w:val="24"/>
          <w:szCs w:val="24"/>
        </w:rPr>
      </w:pPr>
    </w:p>
    <w:p w:rsidR="00A43CB8" w:rsidRPr="00842DAE" w:rsidRDefault="00A43CB8" w:rsidP="00D85868">
      <w:pPr>
        <w:pStyle w:val="Prrafodelista"/>
        <w:numPr>
          <w:ilvl w:val="1"/>
          <w:numId w:val="9"/>
        </w:numPr>
        <w:autoSpaceDE w:val="0"/>
        <w:autoSpaceDN w:val="0"/>
        <w:adjustRightInd w:val="0"/>
        <w:spacing w:before="120" w:after="120" w:line="240" w:lineRule="auto"/>
        <w:jc w:val="both"/>
        <w:rPr>
          <w:rFonts w:ascii="Arial" w:hAnsi="Arial" w:cs="Arial"/>
          <w:b/>
          <w:sz w:val="24"/>
          <w:szCs w:val="24"/>
        </w:rPr>
      </w:pPr>
      <w:r w:rsidRPr="00842DAE">
        <w:rPr>
          <w:rFonts w:ascii="Arial" w:hAnsi="Arial" w:cs="Arial"/>
          <w:b/>
          <w:sz w:val="24"/>
          <w:szCs w:val="24"/>
        </w:rPr>
        <w:t>Medios digitales:</w:t>
      </w:r>
    </w:p>
    <w:p w:rsidR="00E23CDD" w:rsidRPr="00B2569C" w:rsidRDefault="00E23CDD" w:rsidP="00B2569C">
      <w:pPr>
        <w:autoSpaceDE w:val="0"/>
        <w:autoSpaceDN w:val="0"/>
        <w:adjustRightInd w:val="0"/>
        <w:spacing w:before="120" w:after="120" w:line="240" w:lineRule="auto"/>
        <w:jc w:val="both"/>
        <w:rPr>
          <w:rFonts w:ascii="Arial" w:hAnsi="Arial" w:cs="Arial"/>
          <w:sz w:val="24"/>
          <w:szCs w:val="24"/>
        </w:rPr>
      </w:pPr>
      <w:r w:rsidRPr="00B2569C">
        <w:rPr>
          <w:rFonts w:ascii="Arial" w:hAnsi="Arial" w:cs="Arial"/>
          <w:sz w:val="24"/>
          <w:szCs w:val="24"/>
        </w:rPr>
        <w:t xml:space="preserve">Finalmente, el Observatorio cuenta con un micro sitio en la página web de la Secretaría Distrital de Salud de Bogotá, (disponible en Internet en: </w:t>
      </w:r>
      <w:hyperlink r:id="rId7" w:history="1">
        <w:r w:rsidRPr="00B2569C">
          <w:rPr>
            <w:rFonts w:ascii="Arial" w:hAnsi="Arial" w:cs="Arial"/>
            <w:sz w:val="24"/>
            <w:szCs w:val="24"/>
            <w:u w:val="single"/>
          </w:rPr>
          <w:t>http://www.saludcapital.gov.co/Paginas/DocumentosdelObservatoriodeEquidad.aspx</w:t>
        </w:r>
      </w:hyperlink>
      <w:r w:rsidRPr="00B2569C">
        <w:rPr>
          <w:rFonts w:ascii="Arial" w:hAnsi="Arial" w:cs="Arial"/>
          <w:sz w:val="24"/>
          <w:szCs w:val="24"/>
        </w:rPr>
        <w:t>), en el cual se encuentran:</w:t>
      </w:r>
    </w:p>
    <w:p w:rsidR="00E23CDD" w:rsidRPr="00B2569C" w:rsidRDefault="00E23CDD" w:rsidP="00D85868">
      <w:pPr>
        <w:numPr>
          <w:ilvl w:val="0"/>
          <w:numId w:val="8"/>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 xml:space="preserve">las memorias de los foros realizados por el Observatorio; </w:t>
      </w:r>
    </w:p>
    <w:p w:rsidR="00E23CDD" w:rsidRPr="00B2569C" w:rsidRDefault="00E23CDD" w:rsidP="00D85868">
      <w:pPr>
        <w:numPr>
          <w:ilvl w:val="0"/>
          <w:numId w:val="8"/>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 xml:space="preserve">la normatividad y reglamentación del Observatorio; </w:t>
      </w:r>
    </w:p>
    <w:p w:rsidR="00E23CDD" w:rsidRPr="00B2569C" w:rsidRDefault="00E23CDD" w:rsidP="00D85868">
      <w:pPr>
        <w:numPr>
          <w:ilvl w:val="0"/>
          <w:numId w:val="8"/>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 xml:space="preserve">las versiones digitales de los cuatro (4) libros; </w:t>
      </w:r>
    </w:p>
    <w:p w:rsidR="00E23CDD" w:rsidRPr="00B2569C" w:rsidRDefault="00E23CDD" w:rsidP="00D85868">
      <w:pPr>
        <w:numPr>
          <w:ilvl w:val="0"/>
          <w:numId w:val="8"/>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 xml:space="preserve">las versiones digitales de los dieciséis (16) boletines; </w:t>
      </w:r>
    </w:p>
    <w:p w:rsidR="00E23CDD" w:rsidRPr="00B2569C" w:rsidRDefault="00E23CDD" w:rsidP="00D85868">
      <w:pPr>
        <w:numPr>
          <w:ilvl w:val="0"/>
          <w:numId w:val="8"/>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las versiones digitales de los nueve (9) artículos científicos;</w:t>
      </w:r>
    </w:p>
    <w:p w:rsidR="00E23CDD" w:rsidRDefault="00E23CDD" w:rsidP="00D85868">
      <w:pPr>
        <w:numPr>
          <w:ilvl w:val="0"/>
          <w:numId w:val="8"/>
        </w:numPr>
        <w:autoSpaceDE w:val="0"/>
        <w:autoSpaceDN w:val="0"/>
        <w:adjustRightInd w:val="0"/>
        <w:spacing w:before="120" w:after="120" w:line="240" w:lineRule="auto"/>
        <w:contextualSpacing/>
        <w:jc w:val="both"/>
        <w:rPr>
          <w:rFonts w:ascii="Arial" w:hAnsi="Arial" w:cs="Arial"/>
          <w:sz w:val="24"/>
          <w:szCs w:val="24"/>
        </w:rPr>
      </w:pPr>
      <w:r w:rsidRPr="00B2569C">
        <w:rPr>
          <w:rFonts w:ascii="Arial" w:hAnsi="Arial" w:cs="Arial"/>
          <w:sz w:val="24"/>
          <w:szCs w:val="24"/>
        </w:rPr>
        <w:t>reseñas de investigaciones, estados del arte en equidad y salud, entre otros documentos.</w:t>
      </w:r>
    </w:p>
    <w:p w:rsidR="00EB15CE" w:rsidRDefault="00EB15CE" w:rsidP="00EB15CE">
      <w:pPr>
        <w:autoSpaceDE w:val="0"/>
        <w:autoSpaceDN w:val="0"/>
        <w:adjustRightInd w:val="0"/>
        <w:spacing w:before="120" w:after="120" w:line="240" w:lineRule="auto"/>
        <w:ind w:left="360"/>
        <w:contextualSpacing/>
        <w:jc w:val="both"/>
        <w:rPr>
          <w:rFonts w:ascii="Arial" w:hAnsi="Arial" w:cs="Arial"/>
          <w:sz w:val="24"/>
          <w:szCs w:val="24"/>
        </w:rPr>
      </w:pPr>
    </w:p>
    <w:p w:rsidR="00F70E54" w:rsidRPr="00F70E54" w:rsidRDefault="00F70E54" w:rsidP="00D85868">
      <w:pPr>
        <w:numPr>
          <w:ilvl w:val="1"/>
          <w:numId w:val="9"/>
        </w:numPr>
        <w:spacing w:before="120" w:after="120" w:line="240" w:lineRule="auto"/>
        <w:ind w:left="0" w:firstLine="0"/>
        <w:jc w:val="both"/>
        <w:rPr>
          <w:rFonts w:ascii="Arial" w:hAnsi="Arial" w:cs="Arial"/>
          <w:b/>
          <w:sz w:val="24"/>
          <w:szCs w:val="24"/>
        </w:rPr>
      </w:pPr>
      <w:r w:rsidRPr="00F70E54">
        <w:rPr>
          <w:rFonts w:ascii="Arial" w:hAnsi="Arial" w:cs="Arial"/>
          <w:b/>
          <w:sz w:val="24"/>
          <w:szCs w:val="24"/>
        </w:rPr>
        <w:t>El Proyecto de Decreto Reglamentario del Observatorio para la Equidad en Calidad de Vida y Salud de Bogotá.</w:t>
      </w:r>
    </w:p>
    <w:p w:rsidR="00C2285A" w:rsidRPr="003A609F" w:rsidRDefault="00C2285A" w:rsidP="00C2285A">
      <w:pPr>
        <w:spacing w:before="120" w:after="120"/>
        <w:jc w:val="both"/>
        <w:rPr>
          <w:rFonts w:ascii="Arial" w:hAnsi="Arial" w:cs="Arial"/>
          <w:sz w:val="24"/>
          <w:szCs w:val="24"/>
        </w:rPr>
      </w:pPr>
      <w:r>
        <w:rPr>
          <w:rFonts w:ascii="Arial" w:hAnsi="Arial" w:cs="Arial"/>
          <w:sz w:val="24"/>
          <w:szCs w:val="24"/>
        </w:rPr>
        <w:t xml:space="preserve">El Acuerdo 364 de 2009 dispuso que </w:t>
      </w:r>
      <w:r w:rsidRPr="003A609F">
        <w:rPr>
          <w:rFonts w:ascii="Arial" w:hAnsi="Arial" w:cs="Arial"/>
          <w:sz w:val="24"/>
          <w:szCs w:val="24"/>
          <w:lang w:val="es-MX"/>
        </w:rPr>
        <w:t xml:space="preserve">la </w:t>
      </w:r>
      <w:r w:rsidRPr="003A609F">
        <w:rPr>
          <w:rFonts w:ascii="Arial" w:hAnsi="Arial" w:cs="Arial"/>
          <w:sz w:val="24"/>
          <w:szCs w:val="24"/>
        </w:rPr>
        <w:t xml:space="preserve">Coordinación del Observatorio para la Equidad en Calidad de Vida y Salud, </w:t>
      </w:r>
      <w:r>
        <w:rPr>
          <w:rFonts w:ascii="Arial" w:hAnsi="Arial" w:cs="Arial"/>
          <w:sz w:val="24"/>
          <w:szCs w:val="24"/>
        </w:rPr>
        <w:t xml:space="preserve">fuese ejercida por </w:t>
      </w:r>
      <w:r w:rsidRPr="003A609F">
        <w:rPr>
          <w:rFonts w:ascii="Arial" w:hAnsi="Arial" w:cs="Arial"/>
          <w:sz w:val="24"/>
          <w:szCs w:val="24"/>
        </w:rPr>
        <w:t>la Secretaría Distrital de Salud</w:t>
      </w:r>
      <w:r>
        <w:rPr>
          <w:rFonts w:ascii="Arial" w:hAnsi="Arial" w:cs="Arial"/>
          <w:sz w:val="24"/>
          <w:szCs w:val="24"/>
        </w:rPr>
        <w:t xml:space="preserve">, </w:t>
      </w:r>
      <w:r w:rsidRPr="003A609F">
        <w:rPr>
          <w:rFonts w:ascii="Arial" w:hAnsi="Arial" w:cs="Arial"/>
          <w:sz w:val="24"/>
          <w:szCs w:val="24"/>
        </w:rPr>
        <w:t xml:space="preserve">a la cual se le encomendó que determine sus lineamientos y reglamente lo pertinente para garantizar su funcionamiento. Dicha propuesta </w:t>
      </w:r>
      <w:r>
        <w:rPr>
          <w:rFonts w:ascii="Arial" w:hAnsi="Arial" w:cs="Arial"/>
          <w:sz w:val="24"/>
          <w:szCs w:val="24"/>
        </w:rPr>
        <w:t xml:space="preserve">debe ser </w:t>
      </w:r>
      <w:r w:rsidRPr="003A609F">
        <w:rPr>
          <w:rFonts w:ascii="Arial" w:hAnsi="Arial" w:cs="Arial"/>
          <w:sz w:val="24"/>
          <w:szCs w:val="24"/>
        </w:rPr>
        <w:t xml:space="preserve">reglamentada por la Administración Distrital para garantizar al Observatorio una estructura investigativa, técnica y operativa. </w:t>
      </w:r>
    </w:p>
    <w:p w:rsidR="00C2285A" w:rsidRPr="003A609F" w:rsidRDefault="00C2285A" w:rsidP="00C2285A">
      <w:pPr>
        <w:spacing w:before="120" w:after="120"/>
        <w:jc w:val="both"/>
        <w:rPr>
          <w:rFonts w:ascii="Arial" w:hAnsi="Arial" w:cs="Arial"/>
          <w:sz w:val="24"/>
          <w:szCs w:val="24"/>
        </w:rPr>
      </w:pPr>
      <w:r w:rsidRPr="003A609F">
        <w:rPr>
          <w:rFonts w:ascii="Arial" w:hAnsi="Arial" w:cs="Arial"/>
          <w:sz w:val="24"/>
          <w:szCs w:val="24"/>
        </w:rPr>
        <w:t>El Secretario Distrital de Salud, a través de la Circular 012 de 2009, delegó esta función de coordinación en la Dirección de Planeación y Sistemas, y estableció la conformación de la Comisión del Observatorio, con un referente delegado por cada una de las direcciones de: Salud Pública; Desarrollo de Servicios; Jurídica y de Contratación; Aseguramiento; Centro Regulador de Urgencias y Emergencias; Financiera, Planeación y Sistemas; Participación Social y Servicio al Ciudadano.</w:t>
      </w:r>
    </w:p>
    <w:p w:rsidR="00F70E54" w:rsidRPr="003A609F" w:rsidRDefault="00C2285A" w:rsidP="00F70E54">
      <w:pPr>
        <w:spacing w:before="120" w:after="120"/>
        <w:jc w:val="both"/>
        <w:rPr>
          <w:rFonts w:ascii="Arial" w:hAnsi="Arial" w:cs="Arial"/>
          <w:sz w:val="24"/>
          <w:szCs w:val="24"/>
        </w:rPr>
      </w:pPr>
      <w:r>
        <w:rPr>
          <w:rFonts w:ascii="Arial" w:hAnsi="Arial" w:cs="Arial"/>
          <w:sz w:val="24"/>
          <w:szCs w:val="24"/>
        </w:rPr>
        <w:t xml:space="preserve">En octubre de 2012, </w:t>
      </w:r>
      <w:r w:rsidR="00F70E54">
        <w:rPr>
          <w:rFonts w:ascii="Arial" w:hAnsi="Arial" w:cs="Arial"/>
          <w:sz w:val="24"/>
          <w:szCs w:val="24"/>
        </w:rPr>
        <w:t xml:space="preserve">la SDS </w:t>
      </w:r>
      <w:r>
        <w:rPr>
          <w:rFonts w:ascii="Arial" w:hAnsi="Arial" w:cs="Arial"/>
          <w:sz w:val="24"/>
          <w:szCs w:val="24"/>
        </w:rPr>
        <w:t>envío una propuesta de Decreto R</w:t>
      </w:r>
      <w:r w:rsidR="00F70E54">
        <w:rPr>
          <w:rFonts w:ascii="Arial" w:hAnsi="Arial" w:cs="Arial"/>
          <w:sz w:val="24"/>
          <w:szCs w:val="24"/>
        </w:rPr>
        <w:t>eglamentario del Observatorio</w:t>
      </w:r>
      <w:r>
        <w:rPr>
          <w:rFonts w:ascii="Arial" w:hAnsi="Arial" w:cs="Arial"/>
          <w:sz w:val="24"/>
          <w:szCs w:val="24"/>
        </w:rPr>
        <w:t xml:space="preserve"> junto con la </w:t>
      </w:r>
      <w:r w:rsidR="00F70E54" w:rsidRPr="003A609F">
        <w:rPr>
          <w:rFonts w:ascii="Arial" w:hAnsi="Arial" w:cs="Arial"/>
          <w:sz w:val="24"/>
          <w:szCs w:val="24"/>
        </w:rPr>
        <w:t xml:space="preserve">Exposición de motivos técnico-jurídica y de conveniencia del </w:t>
      </w:r>
      <w:r>
        <w:rPr>
          <w:rFonts w:ascii="Arial" w:hAnsi="Arial" w:cs="Arial"/>
          <w:sz w:val="24"/>
          <w:szCs w:val="24"/>
        </w:rPr>
        <w:t xml:space="preserve">mismo, en la perspectiva de lograr </w:t>
      </w:r>
      <w:r w:rsidRPr="003A609F">
        <w:rPr>
          <w:rFonts w:ascii="Arial" w:hAnsi="Arial" w:cs="Arial"/>
          <w:sz w:val="24"/>
          <w:szCs w:val="24"/>
        </w:rPr>
        <w:t>el fortalecimiento institucional del O</w:t>
      </w:r>
      <w:r>
        <w:rPr>
          <w:rFonts w:ascii="Arial" w:hAnsi="Arial" w:cs="Arial"/>
          <w:sz w:val="24"/>
          <w:szCs w:val="24"/>
        </w:rPr>
        <w:t xml:space="preserve">ECVSB, </w:t>
      </w:r>
      <w:r w:rsidRPr="003A609F">
        <w:rPr>
          <w:rFonts w:ascii="Arial" w:hAnsi="Arial" w:cs="Arial"/>
          <w:sz w:val="24"/>
          <w:szCs w:val="24"/>
        </w:rPr>
        <w:t>en los procesos de investigación, monitoreo, abogacía y movilización social por la equidad en calidad de vida y salud de la población del Distrito Capital.</w:t>
      </w:r>
      <w:r>
        <w:rPr>
          <w:rFonts w:ascii="Arial" w:hAnsi="Arial" w:cs="Arial"/>
          <w:sz w:val="24"/>
          <w:szCs w:val="24"/>
        </w:rPr>
        <w:t xml:space="preserve"> En la exposición de motivos, se </w:t>
      </w:r>
      <w:r w:rsidR="00F70E54" w:rsidRPr="003A609F">
        <w:rPr>
          <w:rFonts w:ascii="Arial" w:hAnsi="Arial" w:cs="Arial"/>
          <w:sz w:val="24"/>
          <w:szCs w:val="24"/>
        </w:rPr>
        <w:t>justifica el propósito de desarrollar propuestas de políticas públicas que promuevan la equidad, particularmente en continuar con el avance de procesos de investigación en salud desde la perspectiva de la equidad, e impulsar procesos de movilización y empoderamiento social en torno al derecho a la salud, propósitos y objetivos que caracterizan a la Secretaría Distrital de Salud para coadyuvar al mejoramiento de la calidad de vida de la población bogotana, potenciar su bienestar social y contribuir al desarrollo de políticas públicas en salud orientadas hacia la equidad en calidad de vida y salud.</w:t>
      </w:r>
    </w:p>
    <w:p w:rsidR="00F70E54" w:rsidRPr="003A609F" w:rsidRDefault="00F70E54" w:rsidP="00F70E54">
      <w:pPr>
        <w:spacing w:before="120" w:after="120"/>
        <w:jc w:val="both"/>
        <w:rPr>
          <w:rFonts w:ascii="Arial" w:hAnsi="Arial" w:cs="Arial"/>
          <w:sz w:val="24"/>
          <w:szCs w:val="24"/>
        </w:rPr>
      </w:pPr>
      <w:r w:rsidRPr="003A609F">
        <w:rPr>
          <w:rFonts w:ascii="Arial" w:hAnsi="Arial" w:cs="Arial"/>
          <w:sz w:val="24"/>
          <w:szCs w:val="24"/>
        </w:rPr>
        <w:t xml:space="preserve">En el Proyecto de Decreto Reglamentario del Observatorio se estableció la siguiente estructura que corresponde a los procesos centrales: </w:t>
      </w:r>
    </w:p>
    <w:p w:rsidR="00F70E54" w:rsidRPr="00F70E54" w:rsidRDefault="00F70E54" w:rsidP="00D85868">
      <w:pPr>
        <w:pStyle w:val="Prrafodelista"/>
        <w:numPr>
          <w:ilvl w:val="0"/>
          <w:numId w:val="13"/>
        </w:numPr>
        <w:spacing w:after="0" w:line="240" w:lineRule="auto"/>
        <w:jc w:val="both"/>
        <w:rPr>
          <w:rFonts w:ascii="Arial" w:hAnsi="Arial" w:cs="Arial"/>
          <w:sz w:val="24"/>
          <w:szCs w:val="24"/>
        </w:rPr>
      </w:pPr>
      <w:r w:rsidRPr="00F70E54">
        <w:rPr>
          <w:rFonts w:ascii="Arial" w:hAnsi="Arial" w:cs="Arial"/>
          <w:sz w:val="24"/>
          <w:szCs w:val="24"/>
        </w:rPr>
        <w:t>Un Consejo Consultivo para la Equidad en Calidad de Vida y Salud de Bogotá.</w:t>
      </w:r>
    </w:p>
    <w:p w:rsidR="00F70E54" w:rsidRPr="00F70E54" w:rsidRDefault="00F70E54" w:rsidP="00D85868">
      <w:pPr>
        <w:pStyle w:val="Prrafodelista"/>
        <w:numPr>
          <w:ilvl w:val="0"/>
          <w:numId w:val="13"/>
        </w:numPr>
        <w:spacing w:after="0" w:line="240" w:lineRule="auto"/>
        <w:jc w:val="both"/>
        <w:rPr>
          <w:rFonts w:ascii="Arial" w:hAnsi="Arial" w:cs="Arial"/>
          <w:sz w:val="24"/>
          <w:szCs w:val="24"/>
        </w:rPr>
      </w:pPr>
      <w:r w:rsidRPr="00F70E54">
        <w:rPr>
          <w:rFonts w:ascii="Arial" w:hAnsi="Arial" w:cs="Arial"/>
          <w:sz w:val="24"/>
          <w:szCs w:val="24"/>
        </w:rPr>
        <w:t>La Secretaría Técnica del Consejo Consultivo.</w:t>
      </w:r>
    </w:p>
    <w:p w:rsidR="00F70E54" w:rsidRPr="00F70E54" w:rsidRDefault="00F70E54" w:rsidP="00D85868">
      <w:pPr>
        <w:pStyle w:val="Prrafodelista"/>
        <w:numPr>
          <w:ilvl w:val="0"/>
          <w:numId w:val="13"/>
        </w:numPr>
        <w:spacing w:after="0" w:line="240" w:lineRule="auto"/>
        <w:jc w:val="both"/>
        <w:rPr>
          <w:rFonts w:ascii="Arial" w:hAnsi="Arial" w:cs="Arial"/>
          <w:sz w:val="24"/>
          <w:szCs w:val="24"/>
        </w:rPr>
      </w:pPr>
      <w:r w:rsidRPr="00F70E54">
        <w:rPr>
          <w:rFonts w:ascii="Arial" w:hAnsi="Arial" w:cs="Arial"/>
          <w:sz w:val="24"/>
          <w:szCs w:val="24"/>
        </w:rPr>
        <w:t>Una Unidad Técnica de Apoyo.</w:t>
      </w:r>
    </w:p>
    <w:p w:rsidR="00F70E54" w:rsidRPr="00F70E54" w:rsidRDefault="00F70E54" w:rsidP="00D85868">
      <w:pPr>
        <w:pStyle w:val="Prrafodelista"/>
        <w:numPr>
          <w:ilvl w:val="0"/>
          <w:numId w:val="13"/>
        </w:numPr>
        <w:spacing w:after="0" w:line="240" w:lineRule="auto"/>
        <w:jc w:val="both"/>
        <w:rPr>
          <w:rFonts w:ascii="Arial" w:hAnsi="Arial" w:cs="Arial"/>
          <w:sz w:val="24"/>
          <w:szCs w:val="24"/>
        </w:rPr>
      </w:pPr>
      <w:r w:rsidRPr="00F70E54">
        <w:rPr>
          <w:rFonts w:ascii="Arial" w:hAnsi="Arial" w:cs="Arial"/>
          <w:sz w:val="24"/>
          <w:szCs w:val="24"/>
        </w:rPr>
        <w:t xml:space="preserve">Dos Mesas de Trabajo del Consejo Consultivo, que corresponden a los procesos    centrales del Observatorio: </w:t>
      </w:r>
    </w:p>
    <w:p w:rsidR="00F70E54" w:rsidRPr="003A609F" w:rsidRDefault="00F70E54" w:rsidP="00D85868">
      <w:pPr>
        <w:numPr>
          <w:ilvl w:val="0"/>
          <w:numId w:val="12"/>
        </w:numPr>
        <w:spacing w:after="0" w:line="240" w:lineRule="auto"/>
        <w:jc w:val="both"/>
        <w:rPr>
          <w:rFonts w:ascii="Arial" w:hAnsi="Arial" w:cs="Arial"/>
          <w:sz w:val="24"/>
          <w:szCs w:val="24"/>
        </w:rPr>
      </w:pPr>
      <w:r w:rsidRPr="003A609F">
        <w:rPr>
          <w:rFonts w:ascii="Arial" w:hAnsi="Arial" w:cs="Arial"/>
          <w:sz w:val="24"/>
          <w:szCs w:val="24"/>
        </w:rPr>
        <w:t>Mesa de Investigación y Monitoreo;</w:t>
      </w:r>
    </w:p>
    <w:p w:rsidR="00F70E54" w:rsidRPr="003A609F" w:rsidRDefault="00F70E54" w:rsidP="00D85868">
      <w:pPr>
        <w:numPr>
          <w:ilvl w:val="0"/>
          <w:numId w:val="12"/>
        </w:numPr>
        <w:spacing w:after="0" w:line="240" w:lineRule="auto"/>
        <w:jc w:val="both"/>
        <w:rPr>
          <w:rFonts w:ascii="Arial" w:hAnsi="Arial" w:cs="Arial"/>
          <w:sz w:val="24"/>
          <w:szCs w:val="24"/>
        </w:rPr>
      </w:pPr>
      <w:r w:rsidRPr="003A609F">
        <w:rPr>
          <w:rFonts w:ascii="Arial" w:hAnsi="Arial" w:cs="Arial"/>
          <w:sz w:val="24"/>
          <w:szCs w:val="24"/>
        </w:rPr>
        <w:t>Mesa de Políticas y Sistemas de Salud;</w:t>
      </w:r>
    </w:p>
    <w:p w:rsidR="00F70E54" w:rsidRPr="003A609F" w:rsidRDefault="00F70E54" w:rsidP="00F70E54">
      <w:pPr>
        <w:spacing w:before="120" w:after="120"/>
        <w:jc w:val="both"/>
        <w:rPr>
          <w:rFonts w:ascii="Arial" w:hAnsi="Arial" w:cs="Arial"/>
          <w:sz w:val="24"/>
          <w:szCs w:val="24"/>
        </w:rPr>
      </w:pPr>
      <w:r w:rsidRPr="003A609F">
        <w:rPr>
          <w:rFonts w:ascii="Arial" w:hAnsi="Arial" w:cs="Arial"/>
          <w:sz w:val="24"/>
          <w:szCs w:val="24"/>
        </w:rPr>
        <w:t xml:space="preserve">El Consejo Consultivo para la Equidad en Calidad de Vida y Salud de Bogotá se constituye como un espacio de articulación y cooperación, de carácter pluralista, democrático y abierto, en función de los criterios orientadores del Observatorio. </w:t>
      </w:r>
    </w:p>
    <w:p w:rsidR="00F70E54" w:rsidRPr="003A609F" w:rsidRDefault="00F70E54" w:rsidP="00F70E54">
      <w:pPr>
        <w:spacing w:before="120" w:after="120"/>
        <w:jc w:val="both"/>
        <w:rPr>
          <w:rFonts w:ascii="Arial" w:hAnsi="Arial" w:cs="Arial"/>
          <w:sz w:val="24"/>
          <w:szCs w:val="24"/>
        </w:rPr>
      </w:pPr>
      <w:r w:rsidRPr="003A609F">
        <w:rPr>
          <w:rFonts w:ascii="Arial" w:hAnsi="Arial" w:cs="Arial"/>
          <w:sz w:val="24"/>
          <w:szCs w:val="24"/>
        </w:rPr>
        <w:t>Su conformación involucra a la Alcaldía Mayor de Bogotá D.C., ocho Secretarías de Despacho de la Administración Distrital (Salud –quien ejerce la Secretaría Técnica; Planeación; Desarrollo Económico; Ambiente; Hábitat; Integración Social; Educación; Cultura, Recreación y Deporte); cuatro representantes de las Universidades Públicas y cuatro representantes de las Universidades Privadas ubicadas en el Distrito Capital; ocho representantes de las organizaciones sociales de Bogotá D.C.; cuatro representantes de organizaciones internacionales que promuevan la equidad, en el Distrito Capital, y, seis representantes del Sector Privado – (salud, Cajas de Compensación, comercio, industria, financiero).</w:t>
      </w:r>
    </w:p>
    <w:p w:rsidR="00F70E54" w:rsidRDefault="00F70E54" w:rsidP="00F70E54">
      <w:pPr>
        <w:spacing w:before="120" w:after="120"/>
        <w:jc w:val="both"/>
        <w:rPr>
          <w:rFonts w:ascii="Arial" w:hAnsi="Arial" w:cs="Arial"/>
          <w:sz w:val="24"/>
          <w:szCs w:val="24"/>
        </w:rPr>
      </w:pPr>
      <w:r w:rsidRPr="003A609F">
        <w:rPr>
          <w:rFonts w:ascii="Arial" w:hAnsi="Arial" w:cs="Arial"/>
          <w:sz w:val="24"/>
          <w:szCs w:val="24"/>
        </w:rPr>
        <w:t xml:space="preserve">Para el desarrollo de los procesos centrales del Observatorio, la Mesa de Investigación y Monitoreo, y la Mesa de Políticas y Sistemas de Salud, se reunirán según las necesidades del proceso, y por convocatoria de la Secretaría Técnica del Consejo Consultivo, para mantener una coordinación y una comunicación permanente que asegure el desarrollo de sus actividades y propósitos. La labor de cada una de las Mesas de Trabajo debe articularse con el Plan de Trabajo Anual del Observatorio aprobado por el Consejo Consultivo, el cual recibirá sus propuestas y recomendaciones para promoverlas a nivel distrital y con el sector privado, cuando así se decida. </w:t>
      </w:r>
    </w:p>
    <w:p w:rsidR="000425CF" w:rsidRDefault="000425CF" w:rsidP="00F70E54">
      <w:pPr>
        <w:spacing w:before="120" w:after="120"/>
        <w:jc w:val="both"/>
        <w:rPr>
          <w:rFonts w:ascii="Arial" w:hAnsi="Arial" w:cs="Arial"/>
          <w:sz w:val="24"/>
          <w:szCs w:val="24"/>
        </w:rPr>
      </w:pPr>
    </w:p>
    <w:p w:rsidR="000425CF" w:rsidRDefault="000425CF" w:rsidP="00F70E54">
      <w:pPr>
        <w:spacing w:before="120" w:after="120"/>
        <w:jc w:val="both"/>
        <w:rPr>
          <w:rFonts w:ascii="Arial" w:hAnsi="Arial" w:cs="Arial"/>
          <w:sz w:val="24"/>
          <w:szCs w:val="24"/>
        </w:rPr>
      </w:pPr>
    </w:p>
    <w:p w:rsidR="000425CF" w:rsidRPr="003A609F" w:rsidRDefault="000425CF" w:rsidP="00F70E54">
      <w:pPr>
        <w:spacing w:before="120" w:after="120"/>
        <w:jc w:val="both"/>
        <w:rPr>
          <w:rFonts w:ascii="Arial" w:hAnsi="Arial" w:cs="Arial"/>
          <w:sz w:val="24"/>
          <w:szCs w:val="24"/>
        </w:rPr>
      </w:pPr>
    </w:p>
    <w:sectPr w:rsidR="000425CF" w:rsidRPr="003A609F" w:rsidSect="003A609F">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9D1"/>
    <w:multiLevelType w:val="multilevel"/>
    <w:tmpl w:val="315843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
    <w:nsid w:val="19A3300C"/>
    <w:multiLevelType w:val="multilevel"/>
    <w:tmpl w:val="315843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
    <w:nsid w:val="1D3F2D79"/>
    <w:multiLevelType w:val="hybridMultilevel"/>
    <w:tmpl w:val="5B58C746"/>
    <w:lvl w:ilvl="0" w:tplc="2C0A0001">
      <w:start w:val="1"/>
      <w:numFmt w:val="bullet"/>
      <w:lvlText w:val=""/>
      <w:lvlJc w:val="left"/>
      <w:pPr>
        <w:ind w:left="363" w:hanging="360"/>
      </w:pPr>
      <w:rPr>
        <w:rFonts w:ascii="Symbol" w:hAnsi="Symbol" w:hint="default"/>
      </w:rPr>
    </w:lvl>
    <w:lvl w:ilvl="1" w:tplc="2C0A0003" w:tentative="1">
      <w:start w:val="1"/>
      <w:numFmt w:val="bullet"/>
      <w:lvlText w:val="o"/>
      <w:lvlJc w:val="left"/>
      <w:pPr>
        <w:ind w:left="1083" w:hanging="360"/>
      </w:pPr>
      <w:rPr>
        <w:rFonts w:ascii="Courier New" w:hAnsi="Courier New" w:hint="default"/>
      </w:rPr>
    </w:lvl>
    <w:lvl w:ilvl="2" w:tplc="2C0A0005" w:tentative="1">
      <w:start w:val="1"/>
      <w:numFmt w:val="bullet"/>
      <w:lvlText w:val=""/>
      <w:lvlJc w:val="left"/>
      <w:pPr>
        <w:ind w:left="1803" w:hanging="360"/>
      </w:pPr>
      <w:rPr>
        <w:rFonts w:ascii="Wingdings" w:hAnsi="Wingdings" w:hint="default"/>
      </w:rPr>
    </w:lvl>
    <w:lvl w:ilvl="3" w:tplc="2C0A0001" w:tentative="1">
      <w:start w:val="1"/>
      <w:numFmt w:val="bullet"/>
      <w:lvlText w:val=""/>
      <w:lvlJc w:val="left"/>
      <w:pPr>
        <w:ind w:left="2523" w:hanging="360"/>
      </w:pPr>
      <w:rPr>
        <w:rFonts w:ascii="Symbol" w:hAnsi="Symbol" w:hint="default"/>
      </w:rPr>
    </w:lvl>
    <w:lvl w:ilvl="4" w:tplc="2C0A0003" w:tentative="1">
      <w:start w:val="1"/>
      <w:numFmt w:val="bullet"/>
      <w:lvlText w:val="o"/>
      <w:lvlJc w:val="left"/>
      <w:pPr>
        <w:ind w:left="3243" w:hanging="360"/>
      </w:pPr>
      <w:rPr>
        <w:rFonts w:ascii="Courier New" w:hAnsi="Courier New" w:hint="default"/>
      </w:rPr>
    </w:lvl>
    <w:lvl w:ilvl="5" w:tplc="2C0A0005" w:tentative="1">
      <w:start w:val="1"/>
      <w:numFmt w:val="bullet"/>
      <w:lvlText w:val=""/>
      <w:lvlJc w:val="left"/>
      <w:pPr>
        <w:ind w:left="3963" w:hanging="360"/>
      </w:pPr>
      <w:rPr>
        <w:rFonts w:ascii="Wingdings" w:hAnsi="Wingdings" w:hint="default"/>
      </w:rPr>
    </w:lvl>
    <w:lvl w:ilvl="6" w:tplc="2C0A0001" w:tentative="1">
      <w:start w:val="1"/>
      <w:numFmt w:val="bullet"/>
      <w:lvlText w:val=""/>
      <w:lvlJc w:val="left"/>
      <w:pPr>
        <w:ind w:left="4683" w:hanging="360"/>
      </w:pPr>
      <w:rPr>
        <w:rFonts w:ascii="Symbol" w:hAnsi="Symbol" w:hint="default"/>
      </w:rPr>
    </w:lvl>
    <w:lvl w:ilvl="7" w:tplc="2C0A0003" w:tentative="1">
      <w:start w:val="1"/>
      <w:numFmt w:val="bullet"/>
      <w:lvlText w:val="o"/>
      <w:lvlJc w:val="left"/>
      <w:pPr>
        <w:ind w:left="5403" w:hanging="360"/>
      </w:pPr>
      <w:rPr>
        <w:rFonts w:ascii="Courier New" w:hAnsi="Courier New" w:hint="default"/>
      </w:rPr>
    </w:lvl>
    <w:lvl w:ilvl="8" w:tplc="2C0A0005" w:tentative="1">
      <w:start w:val="1"/>
      <w:numFmt w:val="bullet"/>
      <w:lvlText w:val=""/>
      <w:lvlJc w:val="left"/>
      <w:pPr>
        <w:ind w:left="6123" w:hanging="360"/>
      </w:pPr>
      <w:rPr>
        <w:rFonts w:ascii="Wingdings" w:hAnsi="Wingdings" w:hint="default"/>
      </w:rPr>
    </w:lvl>
  </w:abstractNum>
  <w:abstractNum w:abstractNumId="3">
    <w:nsid w:val="273F67F2"/>
    <w:multiLevelType w:val="hybridMultilevel"/>
    <w:tmpl w:val="1248D1D8"/>
    <w:lvl w:ilvl="0" w:tplc="FCB44568">
      <w:start w:val="1"/>
      <w:numFmt w:val="bullet"/>
      <w:lvlText w:val="•"/>
      <w:lvlJc w:val="left"/>
      <w:pPr>
        <w:tabs>
          <w:tab w:val="num" w:pos="360"/>
        </w:tabs>
        <w:ind w:left="360" w:hanging="360"/>
      </w:pPr>
      <w:rPr>
        <w:rFonts w:ascii="Arial" w:hAnsi="Arial" w:hint="default"/>
      </w:rPr>
    </w:lvl>
    <w:lvl w:ilvl="1" w:tplc="278A5738" w:tentative="1">
      <w:start w:val="1"/>
      <w:numFmt w:val="bullet"/>
      <w:lvlText w:val="•"/>
      <w:lvlJc w:val="left"/>
      <w:pPr>
        <w:tabs>
          <w:tab w:val="num" w:pos="1080"/>
        </w:tabs>
        <w:ind w:left="1080" w:hanging="360"/>
      </w:pPr>
      <w:rPr>
        <w:rFonts w:ascii="Arial" w:hAnsi="Arial" w:hint="default"/>
      </w:rPr>
    </w:lvl>
    <w:lvl w:ilvl="2" w:tplc="79203B58" w:tentative="1">
      <w:start w:val="1"/>
      <w:numFmt w:val="bullet"/>
      <w:lvlText w:val="•"/>
      <w:lvlJc w:val="left"/>
      <w:pPr>
        <w:tabs>
          <w:tab w:val="num" w:pos="1800"/>
        </w:tabs>
        <w:ind w:left="1800" w:hanging="360"/>
      </w:pPr>
      <w:rPr>
        <w:rFonts w:ascii="Arial" w:hAnsi="Arial" w:hint="default"/>
      </w:rPr>
    </w:lvl>
    <w:lvl w:ilvl="3" w:tplc="2376B38E" w:tentative="1">
      <w:start w:val="1"/>
      <w:numFmt w:val="bullet"/>
      <w:lvlText w:val="•"/>
      <w:lvlJc w:val="left"/>
      <w:pPr>
        <w:tabs>
          <w:tab w:val="num" w:pos="2520"/>
        </w:tabs>
        <w:ind w:left="2520" w:hanging="360"/>
      </w:pPr>
      <w:rPr>
        <w:rFonts w:ascii="Arial" w:hAnsi="Arial" w:hint="default"/>
      </w:rPr>
    </w:lvl>
    <w:lvl w:ilvl="4" w:tplc="F38E0EA4" w:tentative="1">
      <w:start w:val="1"/>
      <w:numFmt w:val="bullet"/>
      <w:lvlText w:val="•"/>
      <w:lvlJc w:val="left"/>
      <w:pPr>
        <w:tabs>
          <w:tab w:val="num" w:pos="3240"/>
        </w:tabs>
        <w:ind w:left="3240" w:hanging="360"/>
      </w:pPr>
      <w:rPr>
        <w:rFonts w:ascii="Arial" w:hAnsi="Arial" w:hint="default"/>
      </w:rPr>
    </w:lvl>
    <w:lvl w:ilvl="5" w:tplc="E752E15A" w:tentative="1">
      <w:start w:val="1"/>
      <w:numFmt w:val="bullet"/>
      <w:lvlText w:val="•"/>
      <w:lvlJc w:val="left"/>
      <w:pPr>
        <w:tabs>
          <w:tab w:val="num" w:pos="3960"/>
        </w:tabs>
        <w:ind w:left="3960" w:hanging="360"/>
      </w:pPr>
      <w:rPr>
        <w:rFonts w:ascii="Arial" w:hAnsi="Arial" w:hint="default"/>
      </w:rPr>
    </w:lvl>
    <w:lvl w:ilvl="6" w:tplc="DD14CC14" w:tentative="1">
      <w:start w:val="1"/>
      <w:numFmt w:val="bullet"/>
      <w:lvlText w:val="•"/>
      <w:lvlJc w:val="left"/>
      <w:pPr>
        <w:tabs>
          <w:tab w:val="num" w:pos="4680"/>
        </w:tabs>
        <w:ind w:left="4680" w:hanging="360"/>
      </w:pPr>
      <w:rPr>
        <w:rFonts w:ascii="Arial" w:hAnsi="Arial" w:hint="default"/>
      </w:rPr>
    </w:lvl>
    <w:lvl w:ilvl="7" w:tplc="CF5CBCDE" w:tentative="1">
      <w:start w:val="1"/>
      <w:numFmt w:val="bullet"/>
      <w:lvlText w:val="•"/>
      <w:lvlJc w:val="left"/>
      <w:pPr>
        <w:tabs>
          <w:tab w:val="num" w:pos="5400"/>
        </w:tabs>
        <w:ind w:left="5400" w:hanging="360"/>
      </w:pPr>
      <w:rPr>
        <w:rFonts w:ascii="Arial" w:hAnsi="Arial" w:hint="default"/>
      </w:rPr>
    </w:lvl>
    <w:lvl w:ilvl="8" w:tplc="302C864A" w:tentative="1">
      <w:start w:val="1"/>
      <w:numFmt w:val="bullet"/>
      <w:lvlText w:val="•"/>
      <w:lvlJc w:val="left"/>
      <w:pPr>
        <w:tabs>
          <w:tab w:val="num" w:pos="6120"/>
        </w:tabs>
        <w:ind w:left="6120" w:hanging="360"/>
      </w:pPr>
      <w:rPr>
        <w:rFonts w:ascii="Arial" w:hAnsi="Arial" w:hint="default"/>
      </w:rPr>
    </w:lvl>
  </w:abstractNum>
  <w:abstractNum w:abstractNumId="4">
    <w:nsid w:val="324C53E5"/>
    <w:multiLevelType w:val="hybridMultilevel"/>
    <w:tmpl w:val="8E4C6FD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626B5D02"/>
    <w:multiLevelType w:val="hybridMultilevel"/>
    <w:tmpl w:val="C2A02D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64FC5AAC"/>
    <w:multiLevelType w:val="hybridMultilevel"/>
    <w:tmpl w:val="9CE8179E"/>
    <w:lvl w:ilvl="0" w:tplc="8B768E94">
      <w:start w:val="1"/>
      <w:numFmt w:val="decimal"/>
      <w:lvlText w:val="%1."/>
      <w:lvlJc w:val="left"/>
      <w:pPr>
        <w:tabs>
          <w:tab w:val="num" w:pos="8299"/>
        </w:tabs>
        <w:ind w:left="8299" w:hanging="360"/>
      </w:pPr>
    </w:lvl>
    <w:lvl w:ilvl="1" w:tplc="335CBF5E" w:tentative="1">
      <w:start w:val="1"/>
      <w:numFmt w:val="decimal"/>
      <w:lvlText w:val="%2."/>
      <w:lvlJc w:val="left"/>
      <w:pPr>
        <w:tabs>
          <w:tab w:val="num" w:pos="9019"/>
        </w:tabs>
        <w:ind w:left="9019" w:hanging="360"/>
      </w:pPr>
    </w:lvl>
    <w:lvl w:ilvl="2" w:tplc="178CBFB8" w:tentative="1">
      <w:start w:val="1"/>
      <w:numFmt w:val="decimal"/>
      <w:lvlText w:val="%3."/>
      <w:lvlJc w:val="left"/>
      <w:pPr>
        <w:tabs>
          <w:tab w:val="num" w:pos="9739"/>
        </w:tabs>
        <w:ind w:left="9739" w:hanging="360"/>
      </w:pPr>
    </w:lvl>
    <w:lvl w:ilvl="3" w:tplc="683E9836" w:tentative="1">
      <w:start w:val="1"/>
      <w:numFmt w:val="decimal"/>
      <w:lvlText w:val="%4."/>
      <w:lvlJc w:val="left"/>
      <w:pPr>
        <w:tabs>
          <w:tab w:val="num" w:pos="10459"/>
        </w:tabs>
        <w:ind w:left="10459" w:hanging="360"/>
      </w:pPr>
    </w:lvl>
    <w:lvl w:ilvl="4" w:tplc="BC9E7594" w:tentative="1">
      <w:start w:val="1"/>
      <w:numFmt w:val="decimal"/>
      <w:lvlText w:val="%5."/>
      <w:lvlJc w:val="left"/>
      <w:pPr>
        <w:tabs>
          <w:tab w:val="num" w:pos="11179"/>
        </w:tabs>
        <w:ind w:left="11179" w:hanging="360"/>
      </w:pPr>
    </w:lvl>
    <w:lvl w:ilvl="5" w:tplc="4BD6DCA4" w:tentative="1">
      <w:start w:val="1"/>
      <w:numFmt w:val="decimal"/>
      <w:lvlText w:val="%6."/>
      <w:lvlJc w:val="left"/>
      <w:pPr>
        <w:tabs>
          <w:tab w:val="num" w:pos="11899"/>
        </w:tabs>
        <w:ind w:left="11899" w:hanging="360"/>
      </w:pPr>
    </w:lvl>
    <w:lvl w:ilvl="6" w:tplc="374A7374" w:tentative="1">
      <w:start w:val="1"/>
      <w:numFmt w:val="decimal"/>
      <w:lvlText w:val="%7."/>
      <w:lvlJc w:val="left"/>
      <w:pPr>
        <w:tabs>
          <w:tab w:val="num" w:pos="12619"/>
        </w:tabs>
        <w:ind w:left="12619" w:hanging="360"/>
      </w:pPr>
    </w:lvl>
    <w:lvl w:ilvl="7" w:tplc="98989F8C" w:tentative="1">
      <w:start w:val="1"/>
      <w:numFmt w:val="decimal"/>
      <w:lvlText w:val="%8."/>
      <w:lvlJc w:val="left"/>
      <w:pPr>
        <w:tabs>
          <w:tab w:val="num" w:pos="13339"/>
        </w:tabs>
        <w:ind w:left="13339" w:hanging="360"/>
      </w:pPr>
    </w:lvl>
    <w:lvl w:ilvl="8" w:tplc="329AC812" w:tentative="1">
      <w:start w:val="1"/>
      <w:numFmt w:val="decimal"/>
      <w:lvlText w:val="%9."/>
      <w:lvlJc w:val="left"/>
      <w:pPr>
        <w:tabs>
          <w:tab w:val="num" w:pos="14059"/>
        </w:tabs>
        <w:ind w:left="14059" w:hanging="360"/>
      </w:pPr>
    </w:lvl>
  </w:abstractNum>
  <w:abstractNum w:abstractNumId="7">
    <w:nsid w:val="67EE5004"/>
    <w:multiLevelType w:val="hybridMultilevel"/>
    <w:tmpl w:val="DDA23D6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6E3251C0"/>
    <w:multiLevelType w:val="hybridMultilevel"/>
    <w:tmpl w:val="150CAD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701818FE"/>
    <w:multiLevelType w:val="hybridMultilevel"/>
    <w:tmpl w:val="0F8A76E0"/>
    <w:lvl w:ilvl="0" w:tplc="BDD08610">
      <w:start w:val="1"/>
      <w:numFmt w:val="decimal"/>
      <w:lvlText w:val="%1."/>
      <w:lvlJc w:val="left"/>
      <w:pPr>
        <w:tabs>
          <w:tab w:val="num" w:pos="360"/>
        </w:tabs>
        <w:ind w:left="360" w:hanging="360"/>
      </w:pPr>
      <w:rPr>
        <w:rFonts w:hint="default"/>
      </w:rPr>
    </w:lvl>
    <w:lvl w:ilvl="1" w:tplc="8B40BED0" w:tentative="1">
      <w:start w:val="1"/>
      <w:numFmt w:val="bullet"/>
      <w:lvlText w:val="•"/>
      <w:lvlJc w:val="left"/>
      <w:pPr>
        <w:tabs>
          <w:tab w:val="num" w:pos="1080"/>
        </w:tabs>
        <w:ind w:left="1080" w:hanging="360"/>
      </w:pPr>
      <w:rPr>
        <w:rFonts w:ascii="Arial" w:hAnsi="Arial" w:hint="default"/>
      </w:rPr>
    </w:lvl>
    <w:lvl w:ilvl="2" w:tplc="B76C3780" w:tentative="1">
      <w:start w:val="1"/>
      <w:numFmt w:val="bullet"/>
      <w:lvlText w:val="•"/>
      <w:lvlJc w:val="left"/>
      <w:pPr>
        <w:tabs>
          <w:tab w:val="num" w:pos="1800"/>
        </w:tabs>
        <w:ind w:left="1800" w:hanging="360"/>
      </w:pPr>
      <w:rPr>
        <w:rFonts w:ascii="Arial" w:hAnsi="Arial" w:hint="default"/>
      </w:rPr>
    </w:lvl>
    <w:lvl w:ilvl="3" w:tplc="A9B078F6" w:tentative="1">
      <w:start w:val="1"/>
      <w:numFmt w:val="bullet"/>
      <w:lvlText w:val="•"/>
      <w:lvlJc w:val="left"/>
      <w:pPr>
        <w:tabs>
          <w:tab w:val="num" w:pos="2520"/>
        </w:tabs>
        <w:ind w:left="2520" w:hanging="360"/>
      </w:pPr>
      <w:rPr>
        <w:rFonts w:ascii="Arial" w:hAnsi="Arial" w:hint="default"/>
      </w:rPr>
    </w:lvl>
    <w:lvl w:ilvl="4" w:tplc="F1C6FA2A" w:tentative="1">
      <w:start w:val="1"/>
      <w:numFmt w:val="bullet"/>
      <w:lvlText w:val="•"/>
      <w:lvlJc w:val="left"/>
      <w:pPr>
        <w:tabs>
          <w:tab w:val="num" w:pos="3240"/>
        </w:tabs>
        <w:ind w:left="3240" w:hanging="360"/>
      </w:pPr>
      <w:rPr>
        <w:rFonts w:ascii="Arial" w:hAnsi="Arial" w:hint="default"/>
      </w:rPr>
    </w:lvl>
    <w:lvl w:ilvl="5" w:tplc="D9B0DB80" w:tentative="1">
      <w:start w:val="1"/>
      <w:numFmt w:val="bullet"/>
      <w:lvlText w:val="•"/>
      <w:lvlJc w:val="left"/>
      <w:pPr>
        <w:tabs>
          <w:tab w:val="num" w:pos="3960"/>
        </w:tabs>
        <w:ind w:left="3960" w:hanging="360"/>
      </w:pPr>
      <w:rPr>
        <w:rFonts w:ascii="Arial" w:hAnsi="Arial" w:hint="default"/>
      </w:rPr>
    </w:lvl>
    <w:lvl w:ilvl="6" w:tplc="58D8E37C" w:tentative="1">
      <w:start w:val="1"/>
      <w:numFmt w:val="bullet"/>
      <w:lvlText w:val="•"/>
      <w:lvlJc w:val="left"/>
      <w:pPr>
        <w:tabs>
          <w:tab w:val="num" w:pos="4680"/>
        </w:tabs>
        <w:ind w:left="4680" w:hanging="360"/>
      </w:pPr>
      <w:rPr>
        <w:rFonts w:ascii="Arial" w:hAnsi="Arial" w:hint="default"/>
      </w:rPr>
    </w:lvl>
    <w:lvl w:ilvl="7" w:tplc="B40A5B2A" w:tentative="1">
      <w:start w:val="1"/>
      <w:numFmt w:val="bullet"/>
      <w:lvlText w:val="•"/>
      <w:lvlJc w:val="left"/>
      <w:pPr>
        <w:tabs>
          <w:tab w:val="num" w:pos="5400"/>
        </w:tabs>
        <w:ind w:left="5400" w:hanging="360"/>
      </w:pPr>
      <w:rPr>
        <w:rFonts w:ascii="Arial" w:hAnsi="Arial" w:hint="default"/>
      </w:rPr>
    </w:lvl>
    <w:lvl w:ilvl="8" w:tplc="C694AC92" w:tentative="1">
      <w:start w:val="1"/>
      <w:numFmt w:val="bullet"/>
      <w:lvlText w:val="•"/>
      <w:lvlJc w:val="left"/>
      <w:pPr>
        <w:tabs>
          <w:tab w:val="num" w:pos="6120"/>
        </w:tabs>
        <w:ind w:left="6120" w:hanging="360"/>
      </w:pPr>
      <w:rPr>
        <w:rFonts w:ascii="Arial" w:hAnsi="Arial" w:hint="default"/>
      </w:rPr>
    </w:lvl>
  </w:abstractNum>
  <w:abstractNum w:abstractNumId="10">
    <w:nsid w:val="714B076C"/>
    <w:multiLevelType w:val="hybridMultilevel"/>
    <w:tmpl w:val="C430DE0C"/>
    <w:lvl w:ilvl="0" w:tplc="240A000B">
      <w:start w:val="1"/>
      <w:numFmt w:val="bullet"/>
      <w:lvlText w:val=""/>
      <w:lvlJc w:val="left"/>
      <w:pPr>
        <w:ind w:left="720" w:hanging="720"/>
      </w:pPr>
      <w:rPr>
        <w:rFonts w:ascii="Wingdings" w:hAnsi="Wingdings" w:hint="default"/>
      </w:rPr>
    </w:lvl>
    <w:lvl w:ilvl="1" w:tplc="240A0003" w:tentative="1">
      <w:start w:val="1"/>
      <w:numFmt w:val="bullet"/>
      <w:lvlText w:val="o"/>
      <w:lvlJc w:val="left"/>
      <w:pPr>
        <w:ind w:left="656" w:hanging="360"/>
      </w:pPr>
      <w:rPr>
        <w:rFonts w:ascii="Courier New" w:hAnsi="Courier New" w:cs="Courier New" w:hint="default"/>
      </w:rPr>
    </w:lvl>
    <w:lvl w:ilvl="2" w:tplc="240A0005" w:tentative="1">
      <w:start w:val="1"/>
      <w:numFmt w:val="bullet"/>
      <w:lvlText w:val=""/>
      <w:lvlJc w:val="left"/>
      <w:pPr>
        <w:ind w:left="1376" w:hanging="360"/>
      </w:pPr>
      <w:rPr>
        <w:rFonts w:ascii="Wingdings" w:hAnsi="Wingdings" w:hint="default"/>
      </w:rPr>
    </w:lvl>
    <w:lvl w:ilvl="3" w:tplc="240A0001" w:tentative="1">
      <w:start w:val="1"/>
      <w:numFmt w:val="bullet"/>
      <w:lvlText w:val=""/>
      <w:lvlJc w:val="left"/>
      <w:pPr>
        <w:ind w:left="2096" w:hanging="360"/>
      </w:pPr>
      <w:rPr>
        <w:rFonts w:ascii="Symbol" w:hAnsi="Symbol" w:hint="default"/>
      </w:rPr>
    </w:lvl>
    <w:lvl w:ilvl="4" w:tplc="240A0003" w:tentative="1">
      <w:start w:val="1"/>
      <w:numFmt w:val="bullet"/>
      <w:lvlText w:val="o"/>
      <w:lvlJc w:val="left"/>
      <w:pPr>
        <w:ind w:left="2816" w:hanging="360"/>
      </w:pPr>
      <w:rPr>
        <w:rFonts w:ascii="Courier New" w:hAnsi="Courier New" w:cs="Courier New" w:hint="default"/>
      </w:rPr>
    </w:lvl>
    <w:lvl w:ilvl="5" w:tplc="240A0005" w:tentative="1">
      <w:start w:val="1"/>
      <w:numFmt w:val="bullet"/>
      <w:lvlText w:val=""/>
      <w:lvlJc w:val="left"/>
      <w:pPr>
        <w:ind w:left="3536" w:hanging="360"/>
      </w:pPr>
      <w:rPr>
        <w:rFonts w:ascii="Wingdings" w:hAnsi="Wingdings" w:hint="default"/>
      </w:rPr>
    </w:lvl>
    <w:lvl w:ilvl="6" w:tplc="240A0001" w:tentative="1">
      <w:start w:val="1"/>
      <w:numFmt w:val="bullet"/>
      <w:lvlText w:val=""/>
      <w:lvlJc w:val="left"/>
      <w:pPr>
        <w:ind w:left="4256" w:hanging="360"/>
      </w:pPr>
      <w:rPr>
        <w:rFonts w:ascii="Symbol" w:hAnsi="Symbol" w:hint="default"/>
      </w:rPr>
    </w:lvl>
    <w:lvl w:ilvl="7" w:tplc="240A0003" w:tentative="1">
      <w:start w:val="1"/>
      <w:numFmt w:val="bullet"/>
      <w:lvlText w:val="o"/>
      <w:lvlJc w:val="left"/>
      <w:pPr>
        <w:ind w:left="4976" w:hanging="360"/>
      </w:pPr>
      <w:rPr>
        <w:rFonts w:ascii="Courier New" w:hAnsi="Courier New" w:cs="Courier New" w:hint="default"/>
      </w:rPr>
    </w:lvl>
    <w:lvl w:ilvl="8" w:tplc="240A0005" w:tentative="1">
      <w:start w:val="1"/>
      <w:numFmt w:val="bullet"/>
      <w:lvlText w:val=""/>
      <w:lvlJc w:val="left"/>
      <w:pPr>
        <w:ind w:left="5696" w:hanging="360"/>
      </w:pPr>
      <w:rPr>
        <w:rFonts w:ascii="Wingdings" w:hAnsi="Wingdings" w:hint="default"/>
      </w:rPr>
    </w:lvl>
  </w:abstractNum>
  <w:abstractNum w:abstractNumId="11">
    <w:nsid w:val="7D3F2124"/>
    <w:multiLevelType w:val="hybridMultilevel"/>
    <w:tmpl w:val="2B805B3C"/>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7E6C3F25"/>
    <w:multiLevelType w:val="multilevel"/>
    <w:tmpl w:val="3158432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508" w:hanging="1800"/>
      </w:pPr>
      <w:rPr>
        <w:rFonts w:hint="default"/>
        <w:b w:val="0"/>
      </w:rPr>
    </w:lvl>
  </w:abstractNum>
  <w:num w:numId="1">
    <w:abstractNumId w:val="3"/>
  </w:num>
  <w:num w:numId="2">
    <w:abstractNumId w:val="6"/>
  </w:num>
  <w:num w:numId="3">
    <w:abstractNumId w:val="4"/>
  </w:num>
  <w:num w:numId="4">
    <w:abstractNumId w:val="11"/>
  </w:num>
  <w:num w:numId="5">
    <w:abstractNumId w:val="8"/>
  </w:num>
  <w:num w:numId="6">
    <w:abstractNumId w:val="9"/>
  </w:num>
  <w:num w:numId="7">
    <w:abstractNumId w:val="2"/>
  </w:num>
  <w:num w:numId="8">
    <w:abstractNumId w:val="5"/>
  </w:num>
  <w:num w:numId="9">
    <w:abstractNumId w:val="1"/>
  </w:num>
  <w:num w:numId="10">
    <w:abstractNumId w:val="0"/>
  </w:num>
  <w:num w:numId="11">
    <w:abstractNumId w:val="7"/>
  </w:num>
  <w:num w:numId="12">
    <w:abstractNumId w:val="1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7"/>
    <w:rsid w:val="000411FB"/>
    <w:rsid w:val="000425CF"/>
    <w:rsid w:val="000733E5"/>
    <w:rsid w:val="00077C6B"/>
    <w:rsid w:val="000B1450"/>
    <w:rsid w:val="000B2281"/>
    <w:rsid w:val="00137666"/>
    <w:rsid w:val="00246D9B"/>
    <w:rsid w:val="00361A0B"/>
    <w:rsid w:val="003664EA"/>
    <w:rsid w:val="003A609F"/>
    <w:rsid w:val="00445835"/>
    <w:rsid w:val="0047412D"/>
    <w:rsid w:val="00513909"/>
    <w:rsid w:val="00520FA6"/>
    <w:rsid w:val="00551517"/>
    <w:rsid w:val="005B21F8"/>
    <w:rsid w:val="005C622C"/>
    <w:rsid w:val="00675265"/>
    <w:rsid w:val="00696109"/>
    <w:rsid w:val="006B3DD7"/>
    <w:rsid w:val="006D1205"/>
    <w:rsid w:val="006E3013"/>
    <w:rsid w:val="00732E6D"/>
    <w:rsid w:val="007B1BFE"/>
    <w:rsid w:val="007B717E"/>
    <w:rsid w:val="00842DAE"/>
    <w:rsid w:val="00857E17"/>
    <w:rsid w:val="00870E15"/>
    <w:rsid w:val="008A1BE5"/>
    <w:rsid w:val="008B6C1B"/>
    <w:rsid w:val="008D0B4E"/>
    <w:rsid w:val="009435F0"/>
    <w:rsid w:val="00955C78"/>
    <w:rsid w:val="00967E82"/>
    <w:rsid w:val="00975003"/>
    <w:rsid w:val="009801BC"/>
    <w:rsid w:val="009B7E08"/>
    <w:rsid w:val="00A12238"/>
    <w:rsid w:val="00A1279B"/>
    <w:rsid w:val="00A138E1"/>
    <w:rsid w:val="00A379E1"/>
    <w:rsid w:val="00A43CB8"/>
    <w:rsid w:val="00AC4144"/>
    <w:rsid w:val="00AF5FAC"/>
    <w:rsid w:val="00B2569C"/>
    <w:rsid w:val="00B57126"/>
    <w:rsid w:val="00B63E32"/>
    <w:rsid w:val="00B763B4"/>
    <w:rsid w:val="00C2285A"/>
    <w:rsid w:val="00C235DC"/>
    <w:rsid w:val="00C34D2A"/>
    <w:rsid w:val="00C80032"/>
    <w:rsid w:val="00C9261D"/>
    <w:rsid w:val="00CA7B56"/>
    <w:rsid w:val="00CC562B"/>
    <w:rsid w:val="00D573FC"/>
    <w:rsid w:val="00D738CB"/>
    <w:rsid w:val="00D85868"/>
    <w:rsid w:val="00D92F1D"/>
    <w:rsid w:val="00DB19C5"/>
    <w:rsid w:val="00DB4856"/>
    <w:rsid w:val="00E23CDD"/>
    <w:rsid w:val="00E420DA"/>
    <w:rsid w:val="00E62684"/>
    <w:rsid w:val="00E92934"/>
    <w:rsid w:val="00EB15CE"/>
    <w:rsid w:val="00F61080"/>
    <w:rsid w:val="00F617D9"/>
    <w:rsid w:val="00F70E54"/>
    <w:rsid w:val="00F8107F"/>
    <w:rsid w:val="00FD5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7E1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99"/>
    <w:qFormat/>
    <w:rsid w:val="00857E17"/>
    <w:pPr>
      <w:ind w:left="720"/>
      <w:contextualSpacing/>
    </w:pPr>
  </w:style>
  <w:style w:type="paragraph" w:styleId="Textoindependiente">
    <w:name w:val="Body Text"/>
    <w:basedOn w:val="Normal"/>
    <w:link w:val="TextoindependienteCar"/>
    <w:rsid w:val="00B63E32"/>
    <w:pPr>
      <w:spacing w:after="0" w:line="240" w:lineRule="auto"/>
      <w:jc w:val="both"/>
    </w:pPr>
    <w:rPr>
      <w:rFonts w:ascii="Arial" w:eastAsia="Times New Roman" w:hAnsi="Arial" w:cs="Times New Roman"/>
      <w:i/>
      <w:sz w:val="24"/>
      <w:szCs w:val="20"/>
      <w:lang w:val="es-ES" w:eastAsia="es-ES"/>
    </w:rPr>
  </w:style>
  <w:style w:type="character" w:customStyle="1" w:styleId="TextoindependienteCar">
    <w:name w:val="Texto independiente Car"/>
    <w:basedOn w:val="Fuentedeprrafopredeter"/>
    <w:link w:val="Textoindependiente"/>
    <w:rsid w:val="00B63E32"/>
    <w:rPr>
      <w:rFonts w:ascii="Arial" w:eastAsia="Times New Roman" w:hAnsi="Arial" w:cs="Times New Roman"/>
      <w:i/>
      <w:sz w:val="24"/>
      <w:szCs w:val="20"/>
      <w:lang w:val="es-ES" w:eastAsia="es-ES"/>
    </w:rPr>
  </w:style>
  <w:style w:type="table" w:styleId="Tablaconcuadrcula">
    <w:name w:val="Table Grid"/>
    <w:basedOn w:val="Tablanormal"/>
    <w:uiPriority w:val="59"/>
    <w:rsid w:val="00675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7E1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99"/>
    <w:qFormat/>
    <w:rsid w:val="00857E17"/>
    <w:pPr>
      <w:ind w:left="720"/>
      <w:contextualSpacing/>
    </w:pPr>
  </w:style>
  <w:style w:type="paragraph" w:styleId="Textoindependiente">
    <w:name w:val="Body Text"/>
    <w:basedOn w:val="Normal"/>
    <w:link w:val="TextoindependienteCar"/>
    <w:rsid w:val="00B63E32"/>
    <w:pPr>
      <w:spacing w:after="0" w:line="240" w:lineRule="auto"/>
      <w:jc w:val="both"/>
    </w:pPr>
    <w:rPr>
      <w:rFonts w:ascii="Arial" w:eastAsia="Times New Roman" w:hAnsi="Arial" w:cs="Times New Roman"/>
      <w:i/>
      <w:sz w:val="24"/>
      <w:szCs w:val="20"/>
      <w:lang w:val="es-ES" w:eastAsia="es-ES"/>
    </w:rPr>
  </w:style>
  <w:style w:type="character" w:customStyle="1" w:styleId="TextoindependienteCar">
    <w:name w:val="Texto independiente Car"/>
    <w:basedOn w:val="Fuentedeprrafopredeter"/>
    <w:link w:val="Textoindependiente"/>
    <w:rsid w:val="00B63E32"/>
    <w:rPr>
      <w:rFonts w:ascii="Arial" w:eastAsia="Times New Roman" w:hAnsi="Arial" w:cs="Times New Roman"/>
      <w:i/>
      <w:sz w:val="24"/>
      <w:szCs w:val="20"/>
      <w:lang w:val="es-ES" w:eastAsia="es-ES"/>
    </w:rPr>
  </w:style>
  <w:style w:type="table" w:styleId="Tablaconcuadrcula">
    <w:name w:val="Table Grid"/>
    <w:basedOn w:val="Tablanormal"/>
    <w:uiPriority w:val="59"/>
    <w:rsid w:val="00675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376">
      <w:bodyDiv w:val="1"/>
      <w:marLeft w:val="0"/>
      <w:marRight w:val="0"/>
      <w:marTop w:val="0"/>
      <w:marBottom w:val="0"/>
      <w:divBdr>
        <w:top w:val="none" w:sz="0" w:space="0" w:color="auto"/>
        <w:left w:val="none" w:sz="0" w:space="0" w:color="auto"/>
        <w:bottom w:val="none" w:sz="0" w:space="0" w:color="auto"/>
        <w:right w:val="none" w:sz="0" w:space="0" w:color="auto"/>
      </w:divBdr>
      <w:divsChild>
        <w:div w:id="2118135057">
          <w:marLeft w:val="547"/>
          <w:marRight w:val="0"/>
          <w:marTop w:val="0"/>
          <w:marBottom w:val="0"/>
          <w:divBdr>
            <w:top w:val="none" w:sz="0" w:space="0" w:color="auto"/>
            <w:left w:val="none" w:sz="0" w:space="0" w:color="auto"/>
            <w:bottom w:val="none" w:sz="0" w:space="0" w:color="auto"/>
            <w:right w:val="none" w:sz="0" w:space="0" w:color="auto"/>
          </w:divBdr>
        </w:div>
      </w:divsChild>
    </w:div>
    <w:div w:id="12607989">
      <w:bodyDiv w:val="1"/>
      <w:marLeft w:val="0"/>
      <w:marRight w:val="0"/>
      <w:marTop w:val="0"/>
      <w:marBottom w:val="0"/>
      <w:divBdr>
        <w:top w:val="none" w:sz="0" w:space="0" w:color="auto"/>
        <w:left w:val="none" w:sz="0" w:space="0" w:color="auto"/>
        <w:bottom w:val="none" w:sz="0" w:space="0" w:color="auto"/>
        <w:right w:val="none" w:sz="0" w:space="0" w:color="auto"/>
      </w:divBdr>
    </w:div>
    <w:div w:id="52434016">
      <w:bodyDiv w:val="1"/>
      <w:marLeft w:val="0"/>
      <w:marRight w:val="0"/>
      <w:marTop w:val="0"/>
      <w:marBottom w:val="0"/>
      <w:divBdr>
        <w:top w:val="none" w:sz="0" w:space="0" w:color="auto"/>
        <w:left w:val="none" w:sz="0" w:space="0" w:color="auto"/>
        <w:bottom w:val="none" w:sz="0" w:space="0" w:color="auto"/>
        <w:right w:val="none" w:sz="0" w:space="0" w:color="auto"/>
      </w:divBdr>
      <w:divsChild>
        <w:div w:id="1931959915">
          <w:marLeft w:val="547"/>
          <w:marRight w:val="0"/>
          <w:marTop w:val="0"/>
          <w:marBottom w:val="0"/>
          <w:divBdr>
            <w:top w:val="none" w:sz="0" w:space="0" w:color="auto"/>
            <w:left w:val="none" w:sz="0" w:space="0" w:color="auto"/>
            <w:bottom w:val="none" w:sz="0" w:space="0" w:color="auto"/>
            <w:right w:val="none" w:sz="0" w:space="0" w:color="auto"/>
          </w:divBdr>
        </w:div>
        <w:div w:id="1542134566">
          <w:marLeft w:val="547"/>
          <w:marRight w:val="0"/>
          <w:marTop w:val="0"/>
          <w:marBottom w:val="0"/>
          <w:divBdr>
            <w:top w:val="none" w:sz="0" w:space="0" w:color="auto"/>
            <w:left w:val="none" w:sz="0" w:space="0" w:color="auto"/>
            <w:bottom w:val="none" w:sz="0" w:space="0" w:color="auto"/>
            <w:right w:val="none" w:sz="0" w:space="0" w:color="auto"/>
          </w:divBdr>
        </w:div>
      </w:divsChild>
    </w:div>
    <w:div w:id="62456943">
      <w:bodyDiv w:val="1"/>
      <w:marLeft w:val="0"/>
      <w:marRight w:val="0"/>
      <w:marTop w:val="0"/>
      <w:marBottom w:val="0"/>
      <w:divBdr>
        <w:top w:val="none" w:sz="0" w:space="0" w:color="auto"/>
        <w:left w:val="none" w:sz="0" w:space="0" w:color="auto"/>
        <w:bottom w:val="none" w:sz="0" w:space="0" w:color="auto"/>
        <w:right w:val="none" w:sz="0" w:space="0" w:color="auto"/>
      </w:divBdr>
      <w:divsChild>
        <w:div w:id="1742633089">
          <w:marLeft w:val="547"/>
          <w:marRight w:val="0"/>
          <w:marTop w:val="154"/>
          <w:marBottom w:val="0"/>
          <w:divBdr>
            <w:top w:val="none" w:sz="0" w:space="0" w:color="auto"/>
            <w:left w:val="none" w:sz="0" w:space="0" w:color="auto"/>
            <w:bottom w:val="none" w:sz="0" w:space="0" w:color="auto"/>
            <w:right w:val="none" w:sz="0" w:space="0" w:color="auto"/>
          </w:divBdr>
        </w:div>
        <w:div w:id="201870523">
          <w:marLeft w:val="547"/>
          <w:marRight w:val="0"/>
          <w:marTop w:val="154"/>
          <w:marBottom w:val="0"/>
          <w:divBdr>
            <w:top w:val="none" w:sz="0" w:space="0" w:color="auto"/>
            <w:left w:val="none" w:sz="0" w:space="0" w:color="auto"/>
            <w:bottom w:val="none" w:sz="0" w:space="0" w:color="auto"/>
            <w:right w:val="none" w:sz="0" w:space="0" w:color="auto"/>
          </w:divBdr>
        </w:div>
        <w:div w:id="1006978897">
          <w:marLeft w:val="547"/>
          <w:marRight w:val="0"/>
          <w:marTop w:val="154"/>
          <w:marBottom w:val="0"/>
          <w:divBdr>
            <w:top w:val="none" w:sz="0" w:space="0" w:color="auto"/>
            <w:left w:val="none" w:sz="0" w:space="0" w:color="auto"/>
            <w:bottom w:val="none" w:sz="0" w:space="0" w:color="auto"/>
            <w:right w:val="none" w:sz="0" w:space="0" w:color="auto"/>
          </w:divBdr>
        </w:div>
        <w:div w:id="222564904">
          <w:marLeft w:val="547"/>
          <w:marRight w:val="0"/>
          <w:marTop w:val="154"/>
          <w:marBottom w:val="0"/>
          <w:divBdr>
            <w:top w:val="none" w:sz="0" w:space="0" w:color="auto"/>
            <w:left w:val="none" w:sz="0" w:space="0" w:color="auto"/>
            <w:bottom w:val="none" w:sz="0" w:space="0" w:color="auto"/>
            <w:right w:val="none" w:sz="0" w:space="0" w:color="auto"/>
          </w:divBdr>
        </w:div>
      </w:divsChild>
    </w:div>
    <w:div w:id="84612053">
      <w:bodyDiv w:val="1"/>
      <w:marLeft w:val="0"/>
      <w:marRight w:val="0"/>
      <w:marTop w:val="0"/>
      <w:marBottom w:val="0"/>
      <w:divBdr>
        <w:top w:val="none" w:sz="0" w:space="0" w:color="auto"/>
        <w:left w:val="none" w:sz="0" w:space="0" w:color="auto"/>
        <w:bottom w:val="none" w:sz="0" w:space="0" w:color="auto"/>
        <w:right w:val="none" w:sz="0" w:space="0" w:color="auto"/>
      </w:divBdr>
      <w:divsChild>
        <w:div w:id="2111852512">
          <w:marLeft w:val="806"/>
          <w:marRight w:val="0"/>
          <w:marTop w:val="0"/>
          <w:marBottom w:val="0"/>
          <w:divBdr>
            <w:top w:val="none" w:sz="0" w:space="0" w:color="auto"/>
            <w:left w:val="none" w:sz="0" w:space="0" w:color="auto"/>
            <w:bottom w:val="none" w:sz="0" w:space="0" w:color="auto"/>
            <w:right w:val="none" w:sz="0" w:space="0" w:color="auto"/>
          </w:divBdr>
        </w:div>
        <w:div w:id="1696731397">
          <w:marLeft w:val="806"/>
          <w:marRight w:val="0"/>
          <w:marTop w:val="0"/>
          <w:marBottom w:val="0"/>
          <w:divBdr>
            <w:top w:val="none" w:sz="0" w:space="0" w:color="auto"/>
            <w:left w:val="none" w:sz="0" w:space="0" w:color="auto"/>
            <w:bottom w:val="none" w:sz="0" w:space="0" w:color="auto"/>
            <w:right w:val="none" w:sz="0" w:space="0" w:color="auto"/>
          </w:divBdr>
        </w:div>
      </w:divsChild>
    </w:div>
    <w:div w:id="105974931">
      <w:bodyDiv w:val="1"/>
      <w:marLeft w:val="0"/>
      <w:marRight w:val="0"/>
      <w:marTop w:val="0"/>
      <w:marBottom w:val="0"/>
      <w:divBdr>
        <w:top w:val="none" w:sz="0" w:space="0" w:color="auto"/>
        <w:left w:val="none" w:sz="0" w:space="0" w:color="auto"/>
        <w:bottom w:val="none" w:sz="0" w:space="0" w:color="auto"/>
        <w:right w:val="none" w:sz="0" w:space="0" w:color="auto"/>
      </w:divBdr>
      <w:divsChild>
        <w:div w:id="1248927986">
          <w:marLeft w:val="1224"/>
          <w:marRight w:val="0"/>
          <w:marTop w:val="0"/>
          <w:marBottom w:val="0"/>
          <w:divBdr>
            <w:top w:val="none" w:sz="0" w:space="0" w:color="auto"/>
            <w:left w:val="none" w:sz="0" w:space="0" w:color="auto"/>
            <w:bottom w:val="none" w:sz="0" w:space="0" w:color="auto"/>
            <w:right w:val="none" w:sz="0" w:space="0" w:color="auto"/>
          </w:divBdr>
        </w:div>
        <w:div w:id="2120833909">
          <w:marLeft w:val="1224"/>
          <w:marRight w:val="0"/>
          <w:marTop w:val="0"/>
          <w:marBottom w:val="0"/>
          <w:divBdr>
            <w:top w:val="none" w:sz="0" w:space="0" w:color="auto"/>
            <w:left w:val="none" w:sz="0" w:space="0" w:color="auto"/>
            <w:bottom w:val="none" w:sz="0" w:space="0" w:color="auto"/>
            <w:right w:val="none" w:sz="0" w:space="0" w:color="auto"/>
          </w:divBdr>
        </w:div>
        <w:div w:id="705325664">
          <w:marLeft w:val="1224"/>
          <w:marRight w:val="0"/>
          <w:marTop w:val="0"/>
          <w:marBottom w:val="0"/>
          <w:divBdr>
            <w:top w:val="none" w:sz="0" w:space="0" w:color="auto"/>
            <w:left w:val="none" w:sz="0" w:space="0" w:color="auto"/>
            <w:bottom w:val="none" w:sz="0" w:space="0" w:color="auto"/>
            <w:right w:val="none" w:sz="0" w:space="0" w:color="auto"/>
          </w:divBdr>
        </w:div>
      </w:divsChild>
    </w:div>
    <w:div w:id="125514064">
      <w:bodyDiv w:val="1"/>
      <w:marLeft w:val="0"/>
      <w:marRight w:val="0"/>
      <w:marTop w:val="0"/>
      <w:marBottom w:val="0"/>
      <w:divBdr>
        <w:top w:val="none" w:sz="0" w:space="0" w:color="auto"/>
        <w:left w:val="none" w:sz="0" w:space="0" w:color="auto"/>
        <w:bottom w:val="none" w:sz="0" w:space="0" w:color="auto"/>
        <w:right w:val="none" w:sz="0" w:space="0" w:color="auto"/>
      </w:divBdr>
      <w:divsChild>
        <w:div w:id="884683179">
          <w:marLeft w:val="806"/>
          <w:marRight w:val="0"/>
          <w:marTop w:val="154"/>
          <w:marBottom w:val="0"/>
          <w:divBdr>
            <w:top w:val="none" w:sz="0" w:space="0" w:color="auto"/>
            <w:left w:val="none" w:sz="0" w:space="0" w:color="auto"/>
            <w:bottom w:val="none" w:sz="0" w:space="0" w:color="auto"/>
            <w:right w:val="none" w:sz="0" w:space="0" w:color="auto"/>
          </w:divBdr>
        </w:div>
        <w:div w:id="175929199">
          <w:marLeft w:val="806"/>
          <w:marRight w:val="0"/>
          <w:marTop w:val="154"/>
          <w:marBottom w:val="0"/>
          <w:divBdr>
            <w:top w:val="none" w:sz="0" w:space="0" w:color="auto"/>
            <w:left w:val="none" w:sz="0" w:space="0" w:color="auto"/>
            <w:bottom w:val="none" w:sz="0" w:space="0" w:color="auto"/>
            <w:right w:val="none" w:sz="0" w:space="0" w:color="auto"/>
          </w:divBdr>
        </w:div>
      </w:divsChild>
    </w:div>
    <w:div w:id="168063161">
      <w:bodyDiv w:val="1"/>
      <w:marLeft w:val="0"/>
      <w:marRight w:val="0"/>
      <w:marTop w:val="0"/>
      <w:marBottom w:val="0"/>
      <w:divBdr>
        <w:top w:val="none" w:sz="0" w:space="0" w:color="auto"/>
        <w:left w:val="none" w:sz="0" w:space="0" w:color="auto"/>
        <w:bottom w:val="none" w:sz="0" w:space="0" w:color="auto"/>
        <w:right w:val="none" w:sz="0" w:space="0" w:color="auto"/>
      </w:divBdr>
      <w:divsChild>
        <w:div w:id="766270254">
          <w:marLeft w:val="547"/>
          <w:marRight w:val="0"/>
          <w:marTop w:val="0"/>
          <w:marBottom w:val="0"/>
          <w:divBdr>
            <w:top w:val="none" w:sz="0" w:space="0" w:color="auto"/>
            <w:left w:val="none" w:sz="0" w:space="0" w:color="auto"/>
            <w:bottom w:val="none" w:sz="0" w:space="0" w:color="auto"/>
            <w:right w:val="none" w:sz="0" w:space="0" w:color="auto"/>
          </w:divBdr>
        </w:div>
      </w:divsChild>
    </w:div>
    <w:div w:id="183834090">
      <w:bodyDiv w:val="1"/>
      <w:marLeft w:val="0"/>
      <w:marRight w:val="0"/>
      <w:marTop w:val="0"/>
      <w:marBottom w:val="0"/>
      <w:divBdr>
        <w:top w:val="none" w:sz="0" w:space="0" w:color="auto"/>
        <w:left w:val="none" w:sz="0" w:space="0" w:color="auto"/>
        <w:bottom w:val="none" w:sz="0" w:space="0" w:color="auto"/>
        <w:right w:val="none" w:sz="0" w:space="0" w:color="auto"/>
      </w:divBdr>
    </w:div>
    <w:div w:id="219173109">
      <w:bodyDiv w:val="1"/>
      <w:marLeft w:val="0"/>
      <w:marRight w:val="0"/>
      <w:marTop w:val="0"/>
      <w:marBottom w:val="0"/>
      <w:divBdr>
        <w:top w:val="none" w:sz="0" w:space="0" w:color="auto"/>
        <w:left w:val="none" w:sz="0" w:space="0" w:color="auto"/>
        <w:bottom w:val="none" w:sz="0" w:space="0" w:color="auto"/>
        <w:right w:val="none" w:sz="0" w:space="0" w:color="auto"/>
      </w:divBdr>
    </w:div>
    <w:div w:id="256139248">
      <w:bodyDiv w:val="1"/>
      <w:marLeft w:val="0"/>
      <w:marRight w:val="0"/>
      <w:marTop w:val="0"/>
      <w:marBottom w:val="0"/>
      <w:divBdr>
        <w:top w:val="none" w:sz="0" w:space="0" w:color="auto"/>
        <w:left w:val="none" w:sz="0" w:space="0" w:color="auto"/>
        <w:bottom w:val="none" w:sz="0" w:space="0" w:color="auto"/>
        <w:right w:val="none" w:sz="0" w:space="0" w:color="auto"/>
      </w:divBdr>
      <w:divsChild>
        <w:div w:id="1538856496">
          <w:marLeft w:val="547"/>
          <w:marRight w:val="0"/>
          <w:marTop w:val="0"/>
          <w:marBottom w:val="185"/>
          <w:divBdr>
            <w:top w:val="none" w:sz="0" w:space="0" w:color="auto"/>
            <w:left w:val="none" w:sz="0" w:space="0" w:color="auto"/>
            <w:bottom w:val="none" w:sz="0" w:space="0" w:color="auto"/>
            <w:right w:val="none" w:sz="0" w:space="0" w:color="auto"/>
          </w:divBdr>
        </w:div>
        <w:div w:id="1326395204">
          <w:marLeft w:val="1166"/>
          <w:marRight w:val="0"/>
          <w:marTop w:val="0"/>
          <w:marBottom w:val="65"/>
          <w:divBdr>
            <w:top w:val="none" w:sz="0" w:space="0" w:color="auto"/>
            <w:left w:val="none" w:sz="0" w:space="0" w:color="auto"/>
            <w:bottom w:val="none" w:sz="0" w:space="0" w:color="auto"/>
            <w:right w:val="none" w:sz="0" w:space="0" w:color="auto"/>
          </w:divBdr>
        </w:div>
        <w:div w:id="1785420061">
          <w:marLeft w:val="1166"/>
          <w:marRight w:val="0"/>
          <w:marTop w:val="0"/>
          <w:marBottom w:val="65"/>
          <w:divBdr>
            <w:top w:val="none" w:sz="0" w:space="0" w:color="auto"/>
            <w:left w:val="none" w:sz="0" w:space="0" w:color="auto"/>
            <w:bottom w:val="none" w:sz="0" w:space="0" w:color="auto"/>
            <w:right w:val="none" w:sz="0" w:space="0" w:color="auto"/>
          </w:divBdr>
        </w:div>
        <w:div w:id="1129398986">
          <w:marLeft w:val="1166"/>
          <w:marRight w:val="0"/>
          <w:marTop w:val="0"/>
          <w:marBottom w:val="65"/>
          <w:divBdr>
            <w:top w:val="none" w:sz="0" w:space="0" w:color="auto"/>
            <w:left w:val="none" w:sz="0" w:space="0" w:color="auto"/>
            <w:bottom w:val="none" w:sz="0" w:space="0" w:color="auto"/>
            <w:right w:val="none" w:sz="0" w:space="0" w:color="auto"/>
          </w:divBdr>
        </w:div>
        <w:div w:id="1560243146">
          <w:marLeft w:val="1166"/>
          <w:marRight w:val="0"/>
          <w:marTop w:val="0"/>
          <w:marBottom w:val="65"/>
          <w:divBdr>
            <w:top w:val="none" w:sz="0" w:space="0" w:color="auto"/>
            <w:left w:val="none" w:sz="0" w:space="0" w:color="auto"/>
            <w:bottom w:val="none" w:sz="0" w:space="0" w:color="auto"/>
            <w:right w:val="none" w:sz="0" w:space="0" w:color="auto"/>
          </w:divBdr>
        </w:div>
        <w:div w:id="1167672657">
          <w:marLeft w:val="1166"/>
          <w:marRight w:val="0"/>
          <w:marTop w:val="0"/>
          <w:marBottom w:val="65"/>
          <w:divBdr>
            <w:top w:val="none" w:sz="0" w:space="0" w:color="auto"/>
            <w:left w:val="none" w:sz="0" w:space="0" w:color="auto"/>
            <w:bottom w:val="none" w:sz="0" w:space="0" w:color="auto"/>
            <w:right w:val="none" w:sz="0" w:space="0" w:color="auto"/>
          </w:divBdr>
        </w:div>
        <w:div w:id="1109738313">
          <w:marLeft w:val="1166"/>
          <w:marRight w:val="0"/>
          <w:marTop w:val="0"/>
          <w:marBottom w:val="65"/>
          <w:divBdr>
            <w:top w:val="none" w:sz="0" w:space="0" w:color="auto"/>
            <w:left w:val="none" w:sz="0" w:space="0" w:color="auto"/>
            <w:bottom w:val="none" w:sz="0" w:space="0" w:color="auto"/>
            <w:right w:val="none" w:sz="0" w:space="0" w:color="auto"/>
          </w:divBdr>
        </w:div>
        <w:div w:id="1650134796">
          <w:marLeft w:val="1166"/>
          <w:marRight w:val="0"/>
          <w:marTop w:val="0"/>
          <w:marBottom w:val="65"/>
          <w:divBdr>
            <w:top w:val="none" w:sz="0" w:space="0" w:color="auto"/>
            <w:left w:val="none" w:sz="0" w:space="0" w:color="auto"/>
            <w:bottom w:val="none" w:sz="0" w:space="0" w:color="auto"/>
            <w:right w:val="none" w:sz="0" w:space="0" w:color="auto"/>
          </w:divBdr>
        </w:div>
        <w:div w:id="1481966109">
          <w:marLeft w:val="1166"/>
          <w:marRight w:val="0"/>
          <w:marTop w:val="0"/>
          <w:marBottom w:val="65"/>
          <w:divBdr>
            <w:top w:val="none" w:sz="0" w:space="0" w:color="auto"/>
            <w:left w:val="none" w:sz="0" w:space="0" w:color="auto"/>
            <w:bottom w:val="none" w:sz="0" w:space="0" w:color="auto"/>
            <w:right w:val="none" w:sz="0" w:space="0" w:color="auto"/>
          </w:divBdr>
        </w:div>
      </w:divsChild>
    </w:div>
    <w:div w:id="292057428">
      <w:bodyDiv w:val="1"/>
      <w:marLeft w:val="0"/>
      <w:marRight w:val="0"/>
      <w:marTop w:val="0"/>
      <w:marBottom w:val="0"/>
      <w:divBdr>
        <w:top w:val="none" w:sz="0" w:space="0" w:color="auto"/>
        <w:left w:val="none" w:sz="0" w:space="0" w:color="auto"/>
        <w:bottom w:val="none" w:sz="0" w:space="0" w:color="auto"/>
        <w:right w:val="none" w:sz="0" w:space="0" w:color="auto"/>
      </w:divBdr>
    </w:div>
    <w:div w:id="319577065">
      <w:bodyDiv w:val="1"/>
      <w:marLeft w:val="0"/>
      <w:marRight w:val="0"/>
      <w:marTop w:val="0"/>
      <w:marBottom w:val="0"/>
      <w:divBdr>
        <w:top w:val="none" w:sz="0" w:space="0" w:color="auto"/>
        <w:left w:val="none" w:sz="0" w:space="0" w:color="auto"/>
        <w:bottom w:val="none" w:sz="0" w:space="0" w:color="auto"/>
        <w:right w:val="none" w:sz="0" w:space="0" w:color="auto"/>
      </w:divBdr>
      <w:divsChild>
        <w:div w:id="313029039">
          <w:marLeft w:val="547"/>
          <w:marRight w:val="0"/>
          <w:marTop w:val="0"/>
          <w:marBottom w:val="0"/>
          <w:divBdr>
            <w:top w:val="none" w:sz="0" w:space="0" w:color="auto"/>
            <w:left w:val="none" w:sz="0" w:space="0" w:color="auto"/>
            <w:bottom w:val="none" w:sz="0" w:space="0" w:color="auto"/>
            <w:right w:val="none" w:sz="0" w:space="0" w:color="auto"/>
          </w:divBdr>
        </w:div>
        <w:div w:id="1714234624">
          <w:marLeft w:val="547"/>
          <w:marRight w:val="0"/>
          <w:marTop w:val="0"/>
          <w:marBottom w:val="0"/>
          <w:divBdr>
            <w:top w:val="none" w:sz="0" w:space="0" w:color="auto"/>
            <w:left w:val="none" w:sz="0" w:space="0" w:color="auto"/>
            <w:bottom w:val="none" w:sz="0" w:space="0" w:color="auto"/>
            <w:right w:val="none" w:sz="0" w:space="0" w:color="auto"/>
          </w:divBdr>
        </w:div>
      </w:divsChild>
    </w:div>
    <w:div w:id="565919175">
      <w:bodyDiv w:val="1"/>
      <w:marLeft w:val="0"/>
      <w:marRight w:val="0"/>
      <w:marTop w:val="0"/>
      <w:marBottom w:val="0"/>
      <w:divBdr>
        <w:top w:val="none" w:sz="0" w:space="0" w:color="auto"/>
        <w:left w:val="none" w:sz="0" w:space="0" w:color="auto"/>
        <w:bottom w:val="none" w:sz="0" w:space="0" w:color="auto"/>
        <w:right w:val="none" w:sz="0" w:space="0" w:color="auto"/>
      </w:divBdr>
    </w:div>
    <w:div w:id="627980024">
      <w:bodyDiv w:val="1"/>
      <w:marLeft w:val="0"/>
      <w:marRight w:val="0"/>
      <w:marTop w:val="0"/>
      <w:marBottom w:val="0"/>
      <w:divBdr>
        <w:top w:val="none" w:sz="0" w:space="0" w:color="auto"/>
        <w:left w:val="none" w:sz="0" w:space="0" w:color="auto"/>
        <w:bottom w:val="none" w:sz="0" w:space="0" w:color="auto"/>
        <w:right w:val="none" w:sz="0" w:space="0" w:color="auto"/>
      </w:divBdr>
      <w:divsChild>
        <w:div w:id="2035112543">
          <w:marLeft w:val="547"/>
          <w:marRight w:val="0"/>
          <w:marTop w:val="154"/>
          <w:marBottom w:val="0"/>
          <w:divBdr>
            <w:top w:val="none" w:sz="0" w:space="0" w:color="auto"/>
            <w:left w:val="none" w:sz="0" w:space="0" w:color="auto"/>
            <w:bottom w:val="none" w:sz="0" w:space="0" w:color="auto"/>
            <w:right w:val="none" w:sz="0" w:space="0" w:color="auto"/>
          </w:divBdr>
        </w:div>
        <w:div w:id="259945884">
          <w:marLeft w:val="547"/>
          <w:marRight w:val="0"/>
          <w:marTop w:val="154"/>
          <w:marBottom w:val="0"/>
          <w:divBdr>
            <w:top w:val="none" w:sz="0" w:space="0" w:color="auto"/>
            <w:left w:val="none" w:sz="0" w:space="0" w:color="auto"/>
            <w:bottom w:val="none" w:sz="0" w:space="0" w:color="auto"/>
            <w:right w:val="none" w:sz="0" w:space="0" w:color="auto"/>
          </w:divBdr>
        </w:div>
        <w:div w:id="132719932">
          <w:marLeft w:val="547"/>
          <w:marRight w:val="0"/>
          <w:marTop w:val="154"/>
          <w:marBottom w:val="0"/>
          <w:divBdr>
            <w:top w:val="none" w:sz="0" w:space="0" w:color="auto"/>
            <w:left w:val="none" w:sz="0" w:space="0" w:color="auto"/>
            <w:bottom w:val="none" w:sz="0" w:space="0" w:color="auto"/>
            <w:right w:val="none" w:sz="0" w:space="0" w:color="auto"/>
          </w:divBdr>
        </w:div>
        <w:div w:id="286544145">
          <w:marLeft w:val="547"/>
          <w:marRight w:val="0"/>
          <w:marTop w:val="154"/>
          <w:marBottom w:val="0"/>
          <w:divBdr>
            <w:top w:val="none" w:sz="0" w:space="0" w:color="auto"/>
            <w:left w:val="none" w:sz="0" w:space="0" w:color="auto"/>
            <w:bottom w:val="none" w:sz="0" w:space="0" w:color="auto"/>
            <w:right w:val="none" w:sz="0" w:space="0" w:color="auto"/>
          </w:divBdr>
        </w:div>
        <w:div w:id="488525373">
          <w:marLeft w:val="547"/>
          <w:marRight w:val="0"/>
          <w:marTop w:val="154"/>
          <w:marBottom w:val="0"/>
          <w:divBdr>
            <w:top w:val="none" w:sz="0" w:space="0" w:color="auto"/>
            <w:left w:val="none" w:sz="0" w:space="0" w:color="auto"/>
            <w:bottom w:val="none" w:sz="0" w:space="0" w:color="auto"/>
            <w:right w:val="none" w:sz="0" w:space="0" w:color="auto"/>
          </w:divBdr>
        </w:div>
        <w:div w:id="307520103">
          <w:marLeft w:val="547"/>
          <w:marRight w:val="0"/>
          <w:marTop w:val="154"/>
          <w:marBottom w:val="0"/>
          <w:divBdr>
            <w:top w:val="none" w:sz="0" w:space="0" w:color="auto"/>
            <w:left w:val="none" w:sz="0" w:space="0" w:color="auto"/>
            <w:bottom w:val="none" w:sz="0" w:space="0" w:color="auto"/>
            <w:right w:val="none" w:sz="0" w:space="0" w:color="auto"/>
          </w:divBdr>
        </w:div>
      </w:divsChild>
    </w:div>
    <w:div w:id="666983953">
      <w:bodyDiv w:val="1"/>
      <w:marLeft w:val="0"/>
      <w:marRight w:val="0"/>
      <w:marTop w:val="0"/>
      <w:marBottom w:val="0"/>
      <w:divBdr>
        <w:top w:val="none" w:sz="0" w:space="0" w:color="auto"/>
        <w:left w:val="none" w:sz="0" w:space="0" w:color="auto"/>
        <w:bottom w:val="none" w:sz="0" w:space="0" w:color="auto"/>
        <w:right w:val="none" w:sz="0" w:space="0" w:color="auto"/>
      </w:divBdr>
      <w:divsChild>
        <w:div w:id="1990937129">
          <w:marLeft w:val="547"/>
          <w:marRight w:val="0"/>
          <w:marTop w:val="0"/>
          <w:marBottom w:val="0"/>
          <w:divBdr>
            <w:top w:val="none" w:sz="0" w:space="0" w:color="auto"/>
            <w:left w:val="none" w:sz="0" w:space="0" w:color="auto"/>
            <w:bottom w:val="none" w:sz="0" w:space="0" w:color="auto"/>
            <w:right w:val="none" w:sz="0" w:space="0" w:color="auto"/>
          </w:divBdr>
        </w:div>
      </w:divsChild>
    </w:div>
    <w:div w:id="974219186">
      <w:bodyDiv w:val="1"/>
      <w:marLeft w:val="0"/>
      <w:marRight w:val="0"/>
      <w:marTop w:val="0"/>
      <w:marBottom w:val="0"/>
      <w:divBdr>
        <w:top w:val="none" w:sz="0" w:space="0" w:color="auto"/>
        <w:left w:val="none" w:sz="0" w:space="0" w:color="auto"/>
        <w:bottom w:val="none" w:sz="0" w:space="0" w:color="auto"/>
        <w:right w:val="none" w:sz="0" w:space="0" w:color="auto"/>
      </w:divBdr>
    </w:div>
    <w:div w:id="1032419531">
      <w:bodyDiv w:val="1"/>
      <w:marLeft w:val="0"/>
      <w:marRight w:val="0"/>
      <w:marTop w:val="0"/>
      <w:marBottom w:val="0"/>
      <w:divBdr>
        <w:top w:val="none" w:sz="0" w:space="0" w:color="auto"/>
        <w:left w:val="none" w:sz="0" w:space="0" w:color="auto"/>
        <w:bottom w:val="none" w:sz="0" w:space="0" w:color="auto"/>
        <w:right w:val="none" w:sz="0" w:space="0" w:color="auto"/>
      </w:divBdr>
      <w:divsChild>
        <w:div w:id="1494761158">
          <w:marLeft w:val="547"/>
          <w:marRight w:val="0"/>
          <w:marTop w:val="0"/>
          <w:marBottom w:val="0"/>
          <w:divBdr>
            <w:top w:val="none" w:sz="0" w:space="0" w:color="auto"/>
            <w:left w:val="none" w:sz="0" w:space="0" w:color="auto"/>
            <w:bottom w:val="none" w:sz="0" w:space="0" w:color="auto"/>
            <w:right w:val="none" w:sz="0" w:space="0" w:color="auto"/>
          </w:divBdr>
        </w:div>
      </w:divsChild>
    </w:div>
    <w:div w:id="1102258204">
      <w:bodyDiv w:val="1"/>
      <w:marLeft w:val="0"/>
      <w:marRight w:val="0"/>
      <w:marTop w:val="0"/>
      <w:marBottom w:val="0"/>
      <w:divBdr>
        <w:top w:val="none" w:sz="0" w:space="0" w:color="auto"/>
        <w:left w:val="none" w:sz="0" w:space="0" w:color="auto"/>
        <w:bottom w:val="none" w:sz="0" w:space="0" w:color="auto"/>
        <w:right w:val="none" w:sz="0" w:space="0" w:color="auto"/>
      </w:divBdr>
      <w:divsChild>
        <w:div w:id="460273460">
          <w:marLeft w:val="720"/>
          <w:marRight w:val="0"/>
          <w:marTop w:val="0"/>
          <w:marBottom w:val="0"/>
          <w:divBdr>
            <w:top w:val="none" w:sz="0" w:space="0" w:color="auto"/>
            <w:left w:val="none" w:sz="0" w:space="0" w:color="auto"/>
            <w:bottom w:val="none" w:sz="0" w:space="0" w:color="auto"/>
            <w:right w:val="none" w:sz="0" w:space="0" w:color="auto"/>
          </w:divBdr>
        </w:div>
        <w:div w:id="1650552238">
          <w:marLeft w:val="720"/>
          <w:marRight w:val="0"/>
          <w:marTop w:val="0"/>
          <w:marBottom w:val="0"/>
          <w:divBdr>
            <w:top w:val="none" w:sz="0" w:space="0" w:color="auto"/>
            <w:left w:val="none" w:sz="0" w:space="0" w:color="auto"/>
            <w:bottom w:val="none" w:sz="0" w:space="0" w:color="auto"/>
            <w:right w:val="none" w:sz="0" w:space="0" w:color="auto"/>
          </w:divBdr>
        </w:div>
        <w:div w:id="1478303382">
          <w:marLeft w:val="720"/>
          <w:marRight w:val="0"/>
          <w:marTop w:val="0"/>
          <w:marBottom w:val="0"/>
          <w:divBdr>
            <w:top w:val="none" w:sz="0" w:space="0" w:color="auto"/>
            <w:left w:val="none" w:sz="0" w:space="0" w:color="auto"/>
            <w:bottom w:val="none" w:sz="0" w:space="0" w:color="auto"/>
            <w:right w:val="none" w:sz="0" w:space="0" w:color="auto"/>
          </w:divBdr>
        </w:div>
        <w:div w:id="1589731209">
          <w:marLeft w:val="720"/>
          <w:marRight w:val="0"/>
          <w:marTop w:val="0"/>
          <w:marBottom w:val="0"/>
          <w:divBdr>
            <w:top w:val="none" w:sz="0" w:space="0" w:color="auto"/>
            <w:left w:val="none" w:sz="0" w:space="0" w:color="auto"/>
            <w:bottom w:val="none" w:sz="0" w:space="0" w:color="auto"/>
            <w:right w:val="none" w:sz="0" w:space="0" w:color="auto"/>
          </w:divBdr>
        </w:div>
        <w:div w:id="993023495">
          <w:marLeft w:val="720"/>
          <w:marRight w:val="0"/>
          <w:marTop w:val="0"/>
          <w:marBottom w:val="0"/>
          <w:divBdr>
            <w:top w:val="none" w:sz="0" w:space="0" w:color="auto"/>
            <w:left w:val="none" w:sz="0" w:space="0" w:color="auto"/>
            <w:bottom w:val="none" w:sz="0" w:space="0" w:color="auto"/>
            <w:right w:val="none" w:sz="0" w:space="0" w:color="auto"/>
          </w:divBdr>
        </w:div>
        <w:div w:id="2090154777">
          <w:marLeft w:val="720"/>
          <w:marRight w:val="0"/>
          <w:marTop w:val="0"/>
          <w:marBottom w:val="0"/>
          <w:divBdr>
            <w:top w:val="none" w:sz="0" w:space="0" w:color="auto"/>
            <w:left w:val="none" w:sz="0" w:space="0" w:color="auto"/>
            <w:bottom w:val="none" w:sz="0" w:space="0" w:color="auto"/>
            <w:right w:val="none" w:sz="0" w:space="0" w:color="auto"/>
          </w:divBdr>
        </w:div>
        <w:div w:id="1471315802">
          <w:marLeft w:val="720"/>
          <w:marRight w:val="0"/>
          <w:marTop w:val="0"/>
          <w:marBottom w:val="0"/>
          <w:divBdr>
            <w:top w:val="none" w:sz="0" w:space="0" w:color="auto"/>
            <w:left w:val="none" w:sz="0" w:space="0" w:color="auto"/>
            <w:bottom w:val="none" w:sz="0" w:space="0" w:color="auto"/>
            <w:right w:val="none" w:sz="0" w:space="0" w:color="auto"/>
          </w:divBdr>
        </w:div>
        <w:div w:id="1348479598">
          <w:marLeft w:val="720"/>
          <w:marRight w:val="0"/>
          <w:marTop w:val="0"/>
          <w:marBottom w:val="0"/>
          <w:divBdr>
            <w:top w:val="none" w:sz="0" w:space="0" w:color="auto"/>
            <w:left w:val="none" w:sz="0" w:space="0" w:color="auto"/>
            <w:bottom w:val="none" w:sz="0" w:space="0" w:color="auto"/>
            <w:right w:val="none" w:sz="0" w:space="0" w:color="auto"/>
          </w:divBdr>
        </w:div>
        <w:div w:id="1489901968">
          <w:marLeft w:val="720"/>
          <w:marRight w:val="0"/>
          <w:marTop w:val="0"/>
          <w:marBottom w:val="0"/>
          <w:divBdr>
            <w:top w:val="none" w:sz="0" w:space="0" w:color="auto"/>
            <w:left w:val="none" w:sz="0" w:space="0" w:color="auto"/>
            <w:bottom w:val="none" w:sz="0" w:space="0" w:color="auto"/>
            <w:right w:val="none" w:sz="0" w:space="0" w:color="auto"/>
          </w:divBdr>
        </w:div>
      </w:divsChild>
    </w:div>
    <w:div w:id="1140227926">
      <w:bodyDiv w:val="1"/>
      <w:marLeft w:val="0"/>
      <w:marRight w:val="0"/>
      <w:marTop w:val="0"/>
      <w:marBottom w:val="0"/>
      <w:divBdr>
        <w:top w:val="none" w:sz="0" w:space="0" w:color="auto"/>
        <w:left w:val="none" w:sz="0" w:space="0" w:color="auto"/>
        <w:bottom w:val="none" w:sz="0" w:space="0" w:color="auto"/>
        <w:right w:val="none" w:sz="0" w:space="0" w:color="auto"/>
      </w:divBdr>
    </w:div>
    <w:div w:id="1163161624">
      <w:bodyDiv w:val="1"/>
      <w:marLeft w:val="0"/>
      <w:marRight w:val="0"/>
      <w:marTop w:val="0"/>
      <w:marBottom w:val="0"/>
      <w:divBdr>
        <w:top w:val="none" w:sz="0" w:space="0" w:color="auto"/>
        <w:left w:val="none" w:sz="0" w:space="0" w:color="auto"/>
        <w:bottom w:val="none" w:sz="0" w:space="0" w:color="auto"/>
        <w:right w:val="none" w:sz="0" w:space="0" w:color="auto"/>
      </w:divBdr>
    </w:div>
    <w:div w:id="1235778145">
      <w:bodyDiv w:val="1"/>
      <w:marLeft w:val="0"/>
      <w:marRight w:val="0"/>
      <w:marTop w:val="0"/>
      <w:marBottom w:val="0"/>
      <w:divBdr>
        <w:top w:val="none" w:sz="0" w:space="0" w:color="auto"/>
        <w:left w:val="none" w:sz="0" w:space="0" w:color="auto"/>
        <w:bottom w:val="none" w:sz="0" w:space="0" w:color="auto"/>
        <w:right w:val="none" w:sz="0" w:space="0" w:color="auto"/>
      </w:divBdr>
      <w:divsChild>
        <w:div w:id="1937984587">
          <w:marLeft w:val="1224"/>
          <w:marRight w:val="0"/>
          <w:marTop w:val="0"/>
          <w:marBottom w:val="0"/>
          <w:divBdr>
            <w:top w:val="none" w:sz="0" w:space="0" w:color="auto"/>
            <w:left w:val="none" w:sz="0" w:space="0" w:color="auto"/>
            <w:bottom w:val="none" w:sz="0" w:space="0" w:color="auto"/>
            <w:right w:val="none" w:sz="0" w:space="0" w:color="auto"/>
          </w:divBdr>
        </w:div>
        <w:div w:id="30229121">
          <w:marLeft w:val="1224"/>
          <w:marRight w:val="0"/>
          <w:marTop w:val="0"/>
          <w:marBottom w:val="0"/>
          <w:divBdr>
            <w:top w:val="none" w:sz="0" w:space="0" w:color="auto"/>
            <w:left w:val="none" w:sz="0" w:space="0" w:color="auto"/>
            <w:bottom w:val="none" w:sz="0" w:space="0" w:color="auto"/>
            <w:right w:val="none" w:sz="0" w:space="0" w:color="auto"/>
          </w:divBdr>
        </w:div>
        <w:div w:id="1640500730">
          <w:marLeft w:val="1224"/>
          <w:marRight w:val="0"/>
          <w:marTop w:val="0"/>
          <w:marBottom w:val="0"/>
          <w:divBdr>
            <w:top w:val="none" w:sz="0" w:space="0" w:color="auto"/>
            <w:left w:val="none" w:sz="0" w:space="0" w:color="auto"/>
            <w:bottom w:val="none" w:sz="0" w:space="0" w:color="auto"/>
            <w:right w:val="none" w:sz="0" w:space="0" w:color="auto"/>
          </w:divBdr>
        </w:div>
      </w:divsChild>
    </w:div>
    <w:div w:id="1276670892">
      <w:bodyDiv w:val="1"/>
      <w:marLeft w:val="0"/>
      <w:marRight w:val="0"/>
      <w:marTop w:val="0"/>
      <w:marBottom w:val="0"/>
      <w:divBdr>
        <w:top w:val="none" w:sz="0" w:space="0" w:color="auto"/>
        <w:left w:val="none" w:sz="0" w:space="0" w:color="auto"/>
        <w:bottom w:val="none" w:sz="0" w:space="0" w:color="auto"/>
        <w:right w:val="none" w:sz="0" w:space="0" w:color="auto"/>
      </w:divBdr>
      <w:divsChild>
        <w:div w:id="580335579">
          <w:marLeft w:val="1166"/>
          <w:marRight w:val="0"/>
          <w:marTop w:val="0"/>
          <w:marBottom w:val="0"/>
          <w:divBdr>
            <w:top w:val="none" w:sz="0" w:space="0" w:color="auto"/>
            <w:left w:val="none" w:sz="0" w:space="0" w:color="auto"/>
            <w:bottom w:val="none" w:sz="0" w:space="0" w:color="auto"/>
            <w:right w:val="none" w:sz="0" w:space="0" w:color="auto"/>
          </w:divBdr>
        </w:div>
        <w:div w:id="1867058990">
          <w:marLeft w:val="1166"/>
          <w:marRight w:val="0"/>
          <w:marTop w:val="0"/>
          <w:marBottom w:val="0"/>
          <w:divBdr>
            <w:top w:val="none" w:sz="0" w:space="0" w:color="auto"/>
            <w:left w:val="none" w:sz="0" w:space="0" w:color="auto"/>
            <w:bottom w:val="none" w:sz="0" w:space="0" w:color="auto"/>
            <w:right w:val="none" w:sz="0" w:space="0" w:color="auto"/>
          </w:divBdr>
        </w:div>
        <w:div w:id="1664776413">
          <w:marLeft w:val="1166"/>
          <w:marRight w:val="0"/>
          <w:marTop w:val="0"/>
          <w:marBottom w:val="0"/>
          <w:divBdr>
            <w:top w:val="none" w:sz="0" w:space="0" w:color="auto"/>
            <w:left w:val="none" w:sz="0" w:space="0" w:color="auto"/>
            <w:bottom w:val="none" w:sz="0" w:space="0" w:color="auto"/>
            <w:right w:val="none" w:sz="0" w:space="0" w:color="auto"/>
          </w:divBdr>
        </w:div>
        <w:div w:id="1350571088">
          <w:marLeft w:val="1166"/>
          <w:marRight w:val="0"/>
          <w:marTop w:val="0"/>
          <w:marBottom w:val="0"/>
          <w:divBdr>
            <w:top w:val="none" w:sz="0" w:space="0" w:color="auto"/>
            <w:left w:val="none" w:sz="0" w:space="0" w:color="auto"/>
            <w:bottom w:val="none" w:sz="0" w:space="0" w:color="auto"/>
            <w:right w:val="none" w:sz="0" w:space="0" w:color="auto"/>
          </w:divBdr>
        </w:div>
      </w:divsChild>
    </w:div>
    <w:div w:id="1491361820">
      <w:bodyDiv w:val="1"/>
      <w:marLeft w:val="0"/>
      <w:marRight w:val="0"/>
      <w:marTop w:val="0"/>
      <w:marBottom w:val="0"/>
      <w:divBdr>
        <w:top w:val="none" w:sz="0" w:space="0" w:color="auto"/>
        <w:left w:val="none" w:sz="0" w:space="0" w:color="auto"/>
        <w:bottom w:val="none" w:sz="0" w:space="0" w:color="auto"/>
        <w:right w:val="none" w:sz="0" w:space="0" w:color="auto"/>
      </w:divBdr>
    </w:div>
    <w:div w:id="1548565625">
      <w:bodyDiv w:val="1"/>
      <w:marLeft w:val="0"/>
      <w:marRight w:val="0"/>
      <w:marTop w:val="0"/>
      <w:marBottom w:val="0"/>
      <w:divBdr>
        <w:top w:val="none" w:sz="0" w:space="0" w:color="auto"/>
        <w:left w:val="none" w:sz="0" w:space="0" w:color="auto"/>
        <w:bottom w:val="none" w:sz="0" w:space="0" w:color="auto"/>
        <w:right w:val="none" w:sz="0" w:space="0" w:color="auto"/>
      </w:divBdr>
    </w:div>
    <w:div w:id="1639914255">
      <w:bodyDiv w:val="1"/>
      <w:marLeft w:val="0"/>
      <w:marRight w:val="0"/>
      <w:marTop w:val="0"/>
      <w:marBottom w:val="0"/>
      <w:divBdr>
        <w:top w:val="none" w:sz="0" w:space="0" w:color="auto"/>
        <w:left w:val="none" w:sz="0" w:space="0" w:color="auto"/>
        <w:bottom w:val="none" w:sz="0" w:space="0" w:color="auto"/>
        <w:right w:val="none" w:sz="0" w:space="0" w:color="auto"/>
      </w:divBdr>
      <w:divsChild>
        <w:div w:id="1208253493">
          <w:marLeft w:val="547"/>
          <w:marRight w:val="0"/>
          <w:marTop w:val="0"/>
          <w:marBottom w:val="0"/>
          <w:divBdr>
            <w:top w:val="none" w:sz="0" w:space="0" w:color="auto"/>
            <w:left w:val="none" w:sz="0" w:space="0" w:color="auto"/>
            <w:bottom w:val="none" w:sz="0" w:space="0" w:color="auto"/>
            <w:right w:val="none" w:sz="0" w:space="0" w:color="auto"/>
          </w:divBdr>
        </w:div>
        <w:div w:id="773597136">
          <w:marLeft w:val="547"/>
          <w:marRight w:val="0"/>
          <w:marTop w:val="0"/>
          <w:marBottom w:val="0"/>
          <w:divBdr>
            <w:top w:val="none" w:sz="0" w:space="0" w:color="auto"/>
            <w:left w:val="none" w:sz="0" w:space="0" w:color="auto"/>
            <w:bottom w:val="none" w:sz="0" w:space="0" w:color="auto"/>
            <w:right w:val="none" w:sz="0" w:space="0" w:color="auto"/>
          </w:divBdr>
        </w:div>
      </w:divsChild>
    </w:div>
    <w:div w:id="1670252278">
      <w:bodyDiv w:val="1"/>
      <w:marLeft w:val="0"/>
      <w:marRight w:val="0"/>
      <w:marTop w:val="0"/>
      <w:marBottom w:val="0"/>
      <w:divBdr>
        <w:top w:val="none" w:sz="0" w:space="0" w:color="auto"/>
        <w:left w:val="none" w:sz="0" w:space="0" w:color="auto"/>
        <w:bottom w:val="none" w:sz="0" w:space="0" w:color="auto"/>
        <w:right w:val="none" w:sz="0" w:space="0" w:color="auto"/>
      </w:divBdr>
      <w:divsChild>
        <w:div w:id="1347705857">
          <w:marLeft w:val="1440"/>
          <w:marRight w:val="0"/>
          <w:marTop w:val="0"/>
          <w:marBottom w:val="0"/>
          <w:divBdr>
            <w:top w:val="none" w:sz="0" w:space="0" w:color="auto"/>
            <w:left w:val="none" w:sz="0" w:space="0" w:color="auto"/>
            <w:bottom w:val="none" w:sz="0" w:space="0" w:color="auto"/>
            <w:right w:val="none" w:sz="0" w:space="0" w:color="auto"/>
          </w:divBdr>
        </w:div>
        <w:div w:id="972948484">
          <w:marLeft w:val="1440"/>
          <w:marRight w:val="0"/>
          <w:marTop w:val="0"/>
          <w:marBottom w:val="0"/>
          <w:divBdr>
            <w:top w:val="none" w:sz="0" w:space="0" w:color="auto"/>
            <w:left w:val="none" w:sz="0" w:space="0" w:color="auto"/>
            <w:bottom w:val="none" w:sz="0" w:space="0" w:color="auto"/>
            <w:right w:val="none" w:sz="0" w:space="0" w:color="auto"/>
          </w:divBdr>
        </w:div>
        <w:div w:id="471823854">
          <w:marLeft w:val="1440"/>
          <w:marRight w:val="0"/>
          <w:marTop w:val="0"/>
          <w:marBottom w:val="0"/>
          <w:divBdr>
            <w:top w:val="none" w:sz="0" w:space="0" w:color="auto"/>
            <w:left w:val="none" w:sz="0" w:space="0" w:color="auto"/>
            <w:bottom w:val="none" w:sz="0" w:space="0" w:color="auto"/>
            <w:right w:val="none" w:sz="0" w:space="0" w:color="auto"/>
          </w:divBdr>
        </w:div>
        <w:div w:id="1640067994">
          <w:marLeft w:val="1440"/>
          <w:marRight w:val="0"/>
          <w:marTop w:val="0"/>
          <w:marBottom w:val="0"/>
          <w:divBdr>
            <w:top w:val="none" w:sz="0" w:space="0" w:color="auto"/>
            <w:left w:val="none" w:sz="0" w:space="0" w:color="auto"/>
            <w:bottom w:val="none" w:sz="0" w:space="0" w:color="auto"/>
            <w:right w:val="none" w:sz="0" w:space="0" w:color="auto"/>
          </w:divBdr>
        </w:div>
        <w:div w:id="937462">
          <w:marLeft w:val="1440"/>
          <w:marRight w:val="0"/>
          <w:marTop w:val="0"/>
          <w:marBottom w:val="0"/>
          <w:divBdr>
            <w:top w:val="none" w:sz="0" w:space="0" w:color="auto"/>
            <w:left w:val="none" w:sz="0" w:space="0" w:color="auto"/>
            <w:bottom w:val="none" w:sz="0" w:space="0" w:color="auto"/>
            <w:right w:val="none" w:sz="0" w:space="0" w:color="auto"/>
          </w:divBdr>
        </w:div>
      </w:divsChild>
    </w:div>
    <w:div w:id="1672100259">
      <w:bodyDiv w:val="1"/>
      <w:marLeft w:val="0"/>
      <w:marRight w:val="0"/>
      <w:marTop w:val="0"/>
      <w:marBottom w:val="0"/>
      <w:divBdr>
        <w:top w:val="none" w:sz="0" w:space="0" w:color="auto"/>
        <w:left w:val="none" w:sz="0" w:space="0" w:color="auto"/>
        <w:bottom w:val="none" w:sz="0" w:space="0" w:color="auto"/>
        <w:right w:val="none" w:sz="0" w:space="0" w:color="auto"/>
      </w:divBdr>
      <w:divsChild>
        <w:div w:id="243732490">
          <w:marLeft w:val="547"/>
          <w:marRight w:val="0"/>
          <w:marTop w:val="0"/>
          <w:marBottom w:val="0"/>
          <w:divBdr>
            <w:top w:val="none" w:sz="0" w:space="0" w:color="auto"/>
            <w:left w:val="none" w:sz="0" w:space="0" w:color="auto"/>
            <w:bottom w:val="none" w:sz="0" w:space="0" w:color="auto"/>
            <w:right w:val="none" w:sz="0" w:space="0" w:color="auto"/>
          </w:divBdr>
        </w:div>
      </w:divsChild>
    </w:div>
    <w:div w:id="1681203173">
      <w:bodyDiv w:val="1"/>
      <w:marLeft w:val="0"/>
      <w:marRight w:val="0"/>
      <w:marTop w:val="0"/>
      <w:marBottom w:val="0"/>
      <w:divBdr>
        <w:top w:val="none" w:sz="0" w:space="0" w:color="auto"/>
        <w:left w:val="none" w:sz="0" w:space="0" w:color="auto"/>
        <w:bottom w:val="none" w:sz="0" w:space="0" w:color="auto"/>
        <w:right w:val="none" w:sz="0" w:space="0" w:color="auto"/>
      </w:divBdr>
    </w:div>
    <w:div w:id="1769424882">
      <w:bodyDiv w:val="1"/>
      <w:marLeft w:val="0"/>
      <w:marRight w:val="0"/>
      <w:marTop w:val="0"/>
      <w:marBottom w:val="0"/>
      <w:divBdr>
        <w:top w:val="none" w:sz="0" w:space="0" w:color="auto"/>
        <w:left w:val="none" w:sz="0" w:space="0" w:color="auto"/>
        <w:bottom w:val="none" w:sz="0" w:space="0" w:color="auto"/>
        <w:right w:val="none" w:sz="0" w:space="0" w:color="auto"/>
      </w:divBdr>
    </w:div>
    <w:div w:id="1807628488">
      <w:bodyDiv w:val="1"/>
      <w:marLeft w:val="0"/>
      <w:marRight w:val="0"/>
      <w:marTop w:val="0"/>
      <w:marBottom w:val="0"/>
      <w:divBdr>
        <w:top w:val="none" w:sz="0" w:space="0" w:color="auto"/>
        <w:left w:val="none" w:sz="0" w:space="0" w:color="auto"/>
        <w:bottom w:val="none" w:sz="0" w:space="0" w:color="auto"/>
        <w:right w:val="none" w:sz="0" w:space="0" w:color="auto"/>
      </w:divBdr>
      <w:divsChild>
        <w:div w:id="900870280">
          <w:marLeft w:val="547"/>
          <w:marRight w:val="0"/>
          <w:marTop w:val="120"/>
          <w:marBottom w:val="120"/>
          <w:divBdr>
            <w:top w:val="none" w:sz="0" w:space="0" w:color="auto"/>
            <w:left w:val="none" w:sz="0" w:space="0" w:color="auto"/>
            <w:bottom w:val="none" w:sz="0" w:space="0" w:color="auto"/>
            <w:right w:val="none" w:sz="0" w:space="0" w:color="auto"/>
          </w:divBdr>
        </w:div>
        <w:div w:id="2021542300">
          <w:marLeft w:val="547"/>
          <w:marRight w:val="0"/>
          <w:marTop w:val="120"/>
          <w:marBottom w:val="120"/>
          <w:divBdr>
            <w:top w:val="none" w:sz="0" w:space="0" w:color="auto"/>
            <w:left w:val="none" w:sz="0" w:space="0" w:color="auto"/>
            <w:bottom w:val="none" w:sz="0" w:space="0" w:color="auto"/>
            <w:right w:val="none" w:sz="0" w:space="0" w:color="auto"/>
          </w:divBdr>
        </w:div>
        <w:div w:id="2125075116">
          <w:marLeft w:val="547"/>
          <w:marRight w:val="0"/>
          <w:marTop w:val="120"/>
          <w:marBottom w:val="120"/>
          <w:divBdr>
            <w:top w:val="none" w:sz="0" w:space="0" w:color="auto"/>
            <w:left w:val="none" w:sz="0" w:space="0" w:color="auto"/>
            <w:bottom w:val="none" w:sz="0" w:space="0" w:color="auto"/>
            <w:right w:val="none" w:sz="0" w:space="0" w:color="auto"/>
          </w:divBdr>
        </w:div>
        <w:div w:id="1610430921">
          <w:marLeft w:val="547"/>
          <w:marRight w:val="0"/>
          <w:marTop w:val="120"/>
          <w:marBottom w:val="120"/>
          <w:divBdr>
            <w:top w:val="none" w:sz="0" w:space="0" w:color="auto"/>
            <w:left w:val="none" w:sz="0" w:space="0" w:color="auto"/>
            <w:bottom w:val="none" w:sz="0" w:space="0" w:color="auto"/>
            <w:right w:val="none" w:sz="0" w:space="0" w:color="auto"/>
          </w:divBdr>
        </w:div>
      </w:divsChild>
    </w:div>
    <w:div w:id="1831604717">
      <w:bodyDiv w:val="1"/>
      <w:marLeft w:val="0"/>
      <w:marRight w:val="0"/>
      <w:marTop w:val="0"/>
      <w:marBottom w:val="0"/>
      <w:divBdr>
        <w:top w:val="none" w:sz="0" w:space="0" w:color="auto"/>
        <w:left w:val="none" w:sz="0" w:space="0" w:color="auto"/>
        <w:bottom w:val="none" w:sz="0" w:space="0" w:color="auto"/>
        <w:right w:val="none" w:sz="0" w:space="0" w:color="auto"/>
      </w:divBdr>
    </w:div>
    <w:div w:id="1835947775">
      <w:bodyDiv w:val="1"/>
      <w:marLeft w:val="0"/>
      <w:marRight w:val="0"/>
      <w:marTop w:val="0"/>
      <w:marBottom w:val="0"/>
      <w:divBdr>
        <w:top w:val="none" w:sz="0" w:space="0" w:color="auto"/>
        <w:left w:val="none" w:sz="0" w:space="0" w:color="auto"/>
        <w:bottom w:val="none" w:sz="0" w:space="0" w:color="auto"/>
        <w:right w:val="none" w:sz="0" w:space="0" w:color="auto"/>
      </w:divBdr>
      <w:divsChild>
        <w:div w:id="1710564210">
          <w:marLeft w:val="547"/>
          <w:marRight w:val="0"/>
          <w:marTop w:val="0"/>
          <w:marBottom w:val="0"/>
          <w:divBdr>
            <w:top w:val="none" w:sz="0" w:space="0" w:color="auto"/>
            <w:left w:val="none" w:sz="0" w:space="0" w:color="auto"/>
            <w:bottom w:val="none" w:sz="0" w:space="0" w:color="auto"/>
            <w:right w:val="none" w:sz="0" w:space="0" w:color="auto"/>
          </w:divBdr>
        </w:div>
      </w:divsChild>
    </w:div>
    <w:div w:id="1870752490">
      <w:bodyDiv w:val="1"/>
      <w:marLeft w:val="0"/>
      <w:marRight w:val="0"/>
      <w:marTop w:val="0"/>
      <w:marBottom w:val="0"/>
      <w:divBdr>
        <w:top w:val="none" w:sz="0" w:space="0" w:color="auto"/>
        <w:left w:val="none" w:sz="0" w:space="0" w:color="auto"/>
        <w:bottom w:val="none" w:sz="0" w:space="0" w:color="auto"/>
        <w:right w:val="none" w:sz="0" w:space="0" w:color="auto"/>
      </w:divBdr>
      <w:divsChild>
        <w:div w:id="1775903412">
          <w:marLeft w:val="1166"/>
          <w:marRight w:val="0"/>
          <w:marTop w:val="0"/>
          <w:marBottom w:val="0"/>
          <w:divBdr>
            <w:top w:val="none" w:sz="0" w:space="0" w:color="auto"/>
            <w:left w:val="none" w:sz="0" w:space="0" w:color="auto"/>
            <w:bottom w:val="none" w:sz="0" w:space="0" w:color="auto"/>
            <w:right w:val="none" w:sz="0" w:space="0" w:color="auto"/>
          </w:divBdr>
        </w:div>
        <w:div w:id="1601832508">
          <w:marLeft w:val="1166"/>
          <w:marRight w:val="0"/>
          <w:marTop w:val="0"/>
          <w:marBottom w:val="0"/>
          <w:divBdr>
            <w:top w:val="none" w:sz="0" w:space="0" w:color="auto"/>
            <w:left w:val="none" w:sz="0" w:space="0" w:color="auto"/>
            <w:bottom w:val="none" w:sz="0" w:space="0" w:color="auto"/>
            <w:right w:val="none" w:sz="0" w:space="0" w:color="auto"/>
          </w:divBdr>
        </w:div>
        <w:div w:id="926303629">
          <w:marLeft w:val="1166"/>
          <w:marRight w:val="0"/>
          <w:marTop w:val="0"/>
          <w:marBottom w:val="0"/>
          <w:divBdr>
            <w:top w:val="none" w:sz="0" w:space="0" w:color="auto"/>
            <w:left w:val="none" w:sz="0" w:space="0" w:color="auto"/>
            <w:bottom w:val="none" w:sz="0" w:space="0" w:color="auto"/>
            <w:right w:val="none" w:sz="0" w:space="0" w:color="auto"/>
          </w:divBdr>
        </w:div>
        <w:div w:id="1021392482">
          <w:marLeft w:val="1166"/>
          <w:marRight w:val="0"/>
          <w:marTop w:val="0"/>
          <w:marBottom w:val="0"/>
          <w:divBdr>
            <w:top w:val="none" w:sz="0" w:space="0" w:color="auto"/>
            <w:left w:val="none" w:sz="0" w:space="0" w:color="auto"/>
            <w:bottom w:val="none" w:sz="0" w:space="0" w:color="auto"/>
            <w:right w:val="none" w:sz="0" w:space="0" w:color="auto"/>
          </w:divBdr>
        </w:div>
      </w:divsChild>
    </w:div>
    <w:div w:id="1875651163">
      <w:bodyDiv w:val="1"/>
      <w:marLeft w:val="0"/>
      <w:marRight w:val="0"/>
      <w:marTop w:val="0"/>
      <w:marBottom w:val="0"/>
      <w:divBdr>
        <w:top w:val="none" w:sz="0" w:space="0" w:color="auto"/>
        <w:left w:val="none" w:sz="0" w:space="0" w:color="auto"/>
        <w:bottom w:val="none" w:sz="0" w:space="0" w:color="auto"/>
        <w:right w:val="none" w:sz="0" w:space="0" w:color="auto"/>
      </w:divBdr>
    </w:div>
    <w:div w:id="1887908879">
      <w:bodyDiv w:val="1"/>
      <w:marLeft w:val="0"/>
      <w:marRight w:val="0"/>
      <w:marTop w:val="0"/>
      <w:marBottom w:val="0"/>
      <w:divBdr>
        <w:top w:val="none" w:sz="0" w:space="0" w:color="auto"/>
        <w:left w:val="none" w:sz="0" w:space="0" w:color="auto"/>
        <w:bottom w:val="none" w:sz="0" w:space="0" w:color="auto"/>
        <w:right w:val="none" w:sz="0" w:space="0" w:color="auto"/>
      </w:divBdr>
    </w:div>
    <w:div w:id="1905753000">
      <w:bodyDiv w:val="1"/>
      <w:marLeft w:val="0"/>
      <w:marRight w:val="0"/>
      <w:marTop w:val="0"/>
      <w:marBottom w:val="0"/>
      <w:divBdr>
        <w:top w:val="none" w:sz="0" w:space="0" w:color="auto"/>
        <w:left w:val="none" w:sz="0" w:space="0" w:color="auto"/>
        <w:bottom w:val="none" w:sz="0" w:space="0" w:color="auto"/>
        <w:right w:val="none" w:sz="0" w:space="0" w:color="auto"/>
      </w:divBdr>
      <w:divsChild>
        <w:div w:id="703015694">
          <w:marLeft w:val="547"/>
          <w:marRight w:val="0"/>
          <w:marTop w:val="154"/>
          <w:marBottom w:val="0"/>
          <w:divBdr>
            <w:top w:val="none" w:sz="0" w:space="0" w:color="auto"/>
            <w:left w:val="none" w:sz="0" w:space="0" w:color="auto"/>
            <w:bottom w:val="none" w:sz="0" w:space="0" w:color="auto"/>
            <w:right w:val="none" w:sz="0" w:space="0" w:color="auto"/>
          </w:divBdr>
        </w:div>
        <w:div w:id="1190994175">
          <w:marLeft w:val="547"/>
          <w:marRight w:val="0"/>
          <w:marTop w:val="154"/>
          <w:marBottom w:val="0"/>
          <w:divBdr>
            <w:top w:val="none" w:sz="0" w:space="0" w:color="auto"/>
            <w:left w:val="none" w:sz="0" w:space="0" w:color="auto"/>
            <w:bottom w:val="none" w:sz="0" w:space="0" w:color="auto"/>
            <w:right w:val="none" w:sz="0" w:space="0" w:color="auto"/>
          </w:divBdr>
        </w:div>
        <w:div w:id="1673798032">
          <w:marLeft w:val="547"/>
          <w:marRight w:val="0"/>
          <w:marTop w:val="154"/>
          <w:marBottom w:val="0"/>
          <w:divBdr>
            <w:top w:val="none" w:sz="0" w:space="0" w:color="auto"/>
            <w:left w:val="none" w:sz="0" w:space="0" w:color="auto"/>
            <w:bottom w:val="none" w:sz="0" w:space="0" w:color="auto"/>
            <w:right w:val="none" w:sz="0" w:space="0" w:color="auto"/>
          </w:divBdr>
        </w:div>
        <w:div w:id="671376577">
          <w:marLeft w:val="547"/>
          <w:marRight w:val="0"/>
          <w:marTop w:val="154"/>
          <w:marBottom w:val="0"/>
          <w:divBdr>
            <w:top w:val="none" w:sz="0" w:space="0" w:color="auto"/>
            <w:left w:val="none" w:sz="0" w:space="0" w:color="auto"/>
            <w:bottom w:val="none" w:sz="0" w:space="0" w:color="auto"/>
            <w:right w:val="none" w:sz="0" w:space="0" w:color="auto"/>
          </w:divBdr>
        </w:div>
      </w:divsChild>
    </w:div>
    <w:div w:id="1978954960">
      <w:bodyDiv w:val="1"/>
      <w:marLeft w:val="0"/>
      <w:marRight w:val="0"/>
      <w:marTop w:val="0"/>
      <w:marBottom w:val="0"/>
      <w:divBdr>
        <w:top w:val="none" w:sz="0" w:space="0" w:color="auto"/>
        <w:left w:val="none" w:sz="0" w:space="0" w:color="auto"/>
        <w:bottom w:val="none" w:sz="0" w:space="0" w:color="auto"/>
        <w:right w:val="none" w:sz="0" w:space="0" w:color="auto"/>
      </w:divBdr>
      <w:divsChild>
        <w:div w:id="74404137">
          <w:marLeft w:val="720"/>
          <w:marRight w:val="0"/>
          <w:marTop w:val="0"/>
          <w:marBottom w:val="0"/>
          <w:divBdr>
            <w:top w:val="none" w:sz="0" w:space="0" w:color="auto"/>
            <w:left w:val="none" w:sz="0" w:space="0" w:color="auto"/>
            <w:bottom w:val="none" w:sz="0" w:space="0" w:color="auto"/>
            <w:right w:val="none" w:sz="0" w:space="0" w:color="auto"/>
          </w:divBdr>
        </w:div>
        <w:div w:id="1053849639">
          <w:marLeft w:val="720"/>
          <w:marRight w:val="0"/>
          <w:marTop w:val="0"/>
          <w:marBottom w:val="0"/>
          <w:divBdr>
            <w:top w:val="none" w:sz="0" w:space="0" w:color="auto"/>
            <w:left w:val="none" w:sz="0" w:space="0" w:color="auto"/>
            <w:bottom w:val="none" w:sz="0" w:space="0" w:color="auto"/>
            <w:right w:val="none" w:sz="0" w:space="0" w:color="auto"/>
          </w:divBdr>
        </w:div>
        <w:div w:id="398286835">
          <w:marLeft w:val="720"/>
          <w:marRight w:val="0"/>
          <w:marTop w:val="0"/>
          <w:marBottom w:val="0"/>
          <w:divBdr>
            <w:top w:val="none" w:sz="0" w:space="0" w:color="auto"/>
            <w:left w:val="none" w:sz="0" w:space="0" w:color="auto"/>
            <w:bottom w:val="none" w:sz="0" w:space="0" w:color="auto"/>
            <w:right w:val="none" w:sz="0" w:space="0" w:color="auto"/>
          </w:divBdr>
        </w:div>
        <w:div w:id="61148583">
          <w:marLeft w:val="720"/>
          <w:marRight w:val="0"/>
          <w:marTop w:val="0"/>
          <w:marBottom w:val="0"/>
          <w:divBdr>
            <w:top w:val="none" w:sz="0" w:space="0" w:color="auto"/>
            <w:left w:val="none" w:sz="0" w:space="0" w:color="auto"/>
            <w:bottom w:val="none" w:sz="0" w:space="0" w:color="auto"/>
            <w:right w:val="none" w:sz="0" w:space="0" w:color="auto"/>
          </w:divBdr>
        </w:div>
        <w:div w:id="1001930170">
          <w:marLeft w:val="720"/>
          <w:marRight w:val="0"/>
          <w:marTop w:val="0"/>
          <w:marBottom w:val="0"/>
          <w:divBdr>
            <w:top w:val="none" w:sz="0" w:space="0" w:color="auto"/>
            <w:left w:val="none" w:sz="0" w:space="0" w:color="auto"/>
            <w:bottom w:val="none" w:sz="0" w:space="0" w:color="auto"/>
            <w:right w:val="none" w:sz="0" w:space="0" w:color="auto"/>
          </w:divBdr>
        </w:div>
        <w:div w:id="603734020">
          <w:marLeft w:val="720"/>
          <w:marRight w:val="0"/>
          <w:marTop w:val="0"/>
          <w:marBottom w:val="0"/>
          <w:divBdr>
            <w:top w:val="none" w:sz="0" w:space="0" w:color="auto"/>
            <w:left w:val="none" w:sz="0" w:space="0" w:color="auto"/>
            <w:bottom w:val="none" w:sz="0" w:space="0" w:color="auto"/>
            <w:right w:val="none" w:sz="0" w:space="0" w:color="auto"/>
          </w:divBdr>
        </w:div>
        <w:div w:id="7802043">
          <w:marLeft w:val="720"/>
          <w:marRight w:val="0"/>
          <w:marTop w:val="0"/>
          <w:marBottom w:val="0"/>
          <w:divBdr>
            <w:top w:val="none" w:sz="0" w:space="0" w:color="auto"/>
            <w:left w:val="none" w:sz="0" w:space="0" w:color="auto"/>
            <w:bottom w:val="none" w:sz="0" w:space="0" w:color="auto"/>
            <w:right w:val="none" w:sz="0" w:space="0" w:color="auto"/>
          </w:divBdr>
        </w:div>
        <w:div w:id="1588616325">
          <w:marLeft w:val="720"/>
          <w:marRight w:val="0"/>
          <w:marTop w:val="0"/>
          <w:marBottom w:val="0"/>
          <w:divBdr>
            <w:top w:val="none" w:sz="0" w:space="0" w:color="auto"/>
            <w:left w:val="none" w:sz="0" w:space="0" w:color="auto"/>
            <w:bottom w:val="none" w:sz="0" w:space="0" w:color="auto"/>
            <w:right w:val="none" w:sz="0" w:space="0" w:color="auto"/>
          </w:divBdr>
        </w:div>
        <w:div w:id="94523554">
          <w:marLeft w:val="720"/>
          <w:marRight w:val="0"/>
          <w:marTop w:val="0"/>
          <w:marBottom w:val="0"/>
          <w:divBdr>
            <w:top w:val="none" w:sz="0" w:space="0" w:color="auto"/>
            <w:left w:val="none" w:sz="0" w:space="0" w:color="auto"/>
            <w:bottom w:val="none" w:sz="0" w:space="0" w:color="auto"/>
            <w:right w:val="none" w:sz="0" w:space="0" w:color="auto"/>
          </w:divBdr>
        </w:div>
      </w:divsChild>
    </w:div>
    <w:div w:id="2002737190">
      <w:bodyDiv w:val="1"/>
      <w:marLeft w:val="0"/>
      <w:marRight w:val="0"/>
      <w:marTop w:val="0"/>
      <w:marBottom w:val="0"/>
      <w:divBdr>
        <w:top w:val="none" w:sz="0" w:space="0" w:color="auto"/>
        <w:left w:val="none" w:sz="0" w:space="0" w:color="auto"/>
        <w:bottom w:val="none" w:sz="0" w:space="0" w:color="auto"/>
        <w:right w:val="none" w:sz="0" w:space="0" w:color="auto"/>
      </w:divBdr>
    </w:div>
    <w:div w:id="21370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ludcapital.gov.co/Paginas/DocumentosdelObservatoriodeEquidad.aspx"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8CEC6729CDA0443AE5AB8BED5F3CB5A" ma:contentTypeVersion="0" ma:contentTypeDescription="Crear nuevo documento." ma:contentTypeScope="" ma:versionID="b50e722da90ded93fb68f491236128d0">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4F7DA6B-6F51-4859-AC42-9794732D753B}"/>
</file>

<file path=customXml/itemProps2.xml><?xml version="1.0" encoding="utf-8"?>
<ds:datastoreItem xmlns:ds="http://schemas.openxmlformats.org/officeDocument/2006/customXml" ds:itemID="{A2C3256D-B105-4705-9EA3-F798325F3E40}"/>
</file>

<file path=customXml/itemProps3.xml><?xml version="1.0" encoding="utf-8"?>
<ds:datastoreItem xmlns:ds="http://schemas.openxmlformats.org/officeDocument/2006/customXml" ds:itemID="{16E72C55-061B-4D27-9FBD-887C120B0EC4}"/>
</file>

<file path=customXml/itemProps4.xml><?xml version="1.0" encoding="utf-8"?>
<ds:datastoreItem xmlns:ds="http://schemas.openxmlformats.org/officeDocument/2006/customXml" ds:itemID="{82CF7108-59FA-4ACD-A1E8-6C470FCD5951}"/>
</file>

<file path=docProps/app.xml><?xml version="1.0" encoding="utf-8"?>
<Properties xmlns="http://schemas.openxmlformats.org/officeDocument/2006/extended-properties" xmlns:vt="http://schemas.openxmlformats.org/officeDocument/2006/docPropsVTypes">
  <Template>Normal.dotm</Template>
  <TotalTime>62</TotalTime>
  <Pages>1</Pages>
  <Words>3910</Words>
  <Characters>21511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Contreras Rios, Mayra Alejandra</cp:lastModifiedBy>
  <cp:revision>4</cp:revision>
  <dcterms:created xsi:type="dcterms:W3CDTF">2013-11-26T19:01:00Z</dcterms:created>
  <dcterms:modified xsi:type="dcterms:W3CDTF">2014-07-09T16:27:00Z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0x01010078CEC6729CDA0443AE5AB8BED5F3CB5A</vt:lpwstr>
  </property>
</Properties>
</file>